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AF" w:rsidRPr="002A27AF" w:rsidRDefault="002A27AF" w:rsidP="002A27AF">
      <w:pPr>
        <w:pStyle w:val="a3"/>
        <w:spacing w:before="0" w:after="0" w:afterAutospacing="0" w:line="288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СОЦ</w:t>
      </w:r>
      <w:r>
        <w:rPr>
          <w:b/>
          <w:bCs/>
          <w:color w:val="000000"/>
          <w:sz w:val="28"/>
          <w:szCs w:val="28"/>
        </w:rPr>
        <w:t>ІАЛЬНА ТА ЕКОЛОГІЧНА ЕФЕКТИВНІСТЬ ВИРОБНИЦТВА</w:t>
      </w:r>
      <w:bookmarkStart w:id="0" w:name="_GoBack"/>
      <w:bookmarkEnd w:id="0"/>
    </w:p>
    <w:p w:rsidR="002A27AF" w:rsidRDefault="002A27AF" w:rsidP="002A27AF">
      <w:pPr>
        <w:pStyle w:val="a3"/>
        <w:spacing w:before="0" w:after="0" w:afterAutospacing="0" w:line="288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2A27AF" w:rsidRPr="002A27AF" w:rsidRDefault="002A27AF" w:rsidP="002A27AF">
      <w:pPr>
        <w:pStyle w:val="a3"/>
        <w:spacing w:before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С</w:t>
      </w:r>
      <w:proofErr w:type="spellStart"/>
      <w:r w:rsidRPr="002A27AF">
        <w:rPr>
          <w:b/>
          <w:bCs/>
          <w:color w:val="000000"/>
          <w:sz w:val="28"/>
          <w:szCs w:val="28"/>
        </w:rPr>
        <w:t>оціальна</w:t>
      </w:r>
      <w:proofErr w:type="spellEnd"/>
      <w:r w:rsidRPr="002A27AF">
        <w:rPr>
          <w:b/>
          <w:bCs/>
          <w:color w:val="000000"/>
          <w:sz w:val="28"/>
          <w:szCs w:val="28"/>
        </w:rPr>
        <w:t xml:space="preserve"> ефективність</w:t>
      </w:r>
      <w:r w:rsidRPr="002A27AF">
        <w:rPr>
          <w:color w:val="000000"/>
          <w:sz w:val="28"/>
          <w:szCs w:val="28"/>
        </w:rPr>
        <w:t> </w:t>
      </w:r>
      <w:r w:rsidRPr="002A27AF">
        <w:rPr>
          <w:color w:val="000000"/>
          <w:sz w:val="28"/>
          <w:szCs w:val="28"/>
        </w:rPr>
        <w:t xml:space="preserve">— відповідність результатів господарської діяльності основним соціальним потребам і цілям суспільства. Інтегруючим показником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є підвищення народного добробуту, якості життя.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підприємства слід розглядати на двох рівнях: муніципальному та загальнодержавному — щодо соціального захисту людей і забезпечення соціальних потреб різних верств населення з боку місцевих органів влади і держави в цілому; локальному — на підприємстві стосовно ступеня задоволення соціальних потреб працівників. Оцінювання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на муніципальному рівні здійснюється за рахунок місцевого і загальнодержавного бюджетів, розмір яких формується під безпосереднім впливом податкових надходжень від суб’єктів господарювання. Соціальні заходи цього рівня охоплюють: установлення і регулювання мінімальної заробітної плати працівникам державних підприємств і організацій; установлення і виплату пенсій, стипендій, допомоги багатодітним сім’ям, субсидій на житлово-комунальні послуги; індексацію заробітної плати й пенсій відповідно до динаміки зростання (зниження) роздрібних цін і тарифів; регулювання цін продажу на певні види товарів і вартості комунальних послуг; бюджетне фінансування державних підприємств та організацій невиробничої сфери; реалізацію муніципальних, регіональних і загальнодержавних програм тощо. На локальному рівні важливе практичне значення має визначення рівня задоволення соціальних потреб працівників за рахунок фінансових коштів підприємства. В основу оцінки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виробництва покладена оцінка задоволення потреб людини і створення умов для її розвитку. До показників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виробництва належать: приріст доходів працівників; підвищення ступеня задоволення їх фізіологічних потреб; підвищення ступеня безпеки діяльності; підвищення ступеня задоволення соціальних і духовних потреб працівників; збільшення кількості робочих місць; підвищення кваліфікації працівників; поліпшення умов праці та відпочинку; збільшення тривалості життя працівників і членів їх сімей.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виробництва тісно пов’язана з економічною ефективністю виробництва, оскільки у будь-яких соціальних заходах є присутніми економічні основи і, навпаки, реалізація будь-якої економічної програми обов’язково супроводжується соціальними наслідками. ФП при виробництві своєї продукції, окрім оцінки економічної ефективності своєї діяльності, повинні розраховувати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від запровадження чи удосконалення ЛП. Оцінка </w:t>
      </w:r>
      <w:proofErr w:type="spellStart"/>
      <w:r w:rsidRPr="002A27AF">
        <w:rPr>
          <w:color w:val="000000"/>
          <w:sz w:val="28"/>
          <w:szCs w:val="28"/>
        </w:rPr>
        <w:t>С.е</w:t>
      </w:r>
      <w:proofErr w:type="spellEnd"/>
      <w:r w:rsidRPr="002A27AF">
        <w:rPr>
          <w:color w:val="000000"/>
          <w:sz w:val="28"/>
          <w:szCs w:val="28"/>
        </w:rPr>
        <w:t xml:space="preserve">. повинна здійснюватися за такими критеріями: соціальна значущість ЛП або виробів медичного призначення; узагальнююча параметрична оцінка ЛП (чи належить ЛП або вироби медичного призначення до групи </w:t>
      </w:r>
      <w:proofErr w:type="spellStart"/>
      <w:r w:rsidRPr="002A27AF">
        <w:rPr>
          <w:color w:val="000000"/>
          <w:sz w:val="28"/>
          <w:szCs w:val="28"/>
        </w:rPr>
        <w:t>життєво</w:t>
      </w:r>
      <w:proofErr w:type="spellEnd"/>
      <w:r w:rsidRPr="002A27AF">
        <w:rPr>
          <w:color w:val="000000"/>
          <w:sz w:val="28"/>
          <w:szCs w:val="28"/>
        </w:rPr>
        <w:t xml:space="preserve"> необхідних); </w:t>
      </w:r>
      <w:r w:rsidRPr="002A27AF">
        <w:rPr>
          <w:color w:val="000000"/>
          <w:sz w:val="28"/>
          <w:szCs w:val="28"/>
        </w:rPr>
        <w:lastRenderedPageBreak/>
        <w:t xml:space="preserve">екологічна безпека виробництва ЛП або виробів медичного призначення. Для розрахунку соціального ефекту від запровадження нового ЛП або виробів медичного призначення доцільно використовувати показники «витрати — ефективність» або «витрати — корисність (утилітарність)». При цьому загальний соціальний ефект від використання нового ЛП слід розраховувати, спираючись на дані щодо динаміки захворювань за певною нозологією й показник частоти призначень певного лікарського засобу серед ЛП даної </w:t>
      </w:r>
      <w:proofErr w:type="spellStart"/>
      <w:r w:rsidRPr="002A27AF">
        <w:rPr>
          <w:color w:val="000000"/>
          <w:sz w:val="28"/>
          <w:szCs w:val="28"/>
        </w:rPr>
        <w:t>фармакотерапевтичної</w:t>
      </w:r>
      <w:proofErr w:type="spellEnd"/>
      <w:r w:rsidRPr="002A27AF">
        <w:rPr>
          <w:color w:val="000000"/>
          <w:sz w:val="28"/>
          <w:szCs w:val="28"/>
        </w:rPr>
        <w:t xml:space="preserve"> групи:</w:t>
      </w:r>
    </w:p>
    <w:p w:rsidR="002A27AF" w:rsidRPr="002A27AF" w:rsidRDefault="002A27AF" w:rsidP="002A27AF">
      <w:pPr>
        <w:pStyle w:val="a3"/>
        <w:spacing w:before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A27AF">
        <w:rPr>
          <w:noProof/>
          <w:color w:val="000000"/>
          <w:sz w:val="28"/>
          <w:szCs w:val="28"/>
        </w:rPr>
        <w:drawing>
          <wp:inline distT="0" distB="0" distL="0" distR="0" wp14:anchorId="09AA9634" wp14:editId="5650AF10">
            <wp:extent cx="3076575" cy="990600"/>
            <wp:effectExtent l="0" t="0" r="9525" b="0"/>
            <wp:docPr id="1" name="Рисунок 1" descr="http://www.pharmencyclopedia.com.ua/uploads/2010/09/wpid-soceffect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rmencyclopedia.com.ua/uploads/2010/09/wpid-soceffect_fm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AF" w:rsidRPr="002A27AF" w:rsidRDefault="002A27AF" w:rsidP="002A27AF">
      <w:pPr>
        <w:pStyle w:val="a3"/>
        <w:spacing w:before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A27AF">
        <w:rPr>
          <w:color w:val="000000"/>
          <w:sz w:val="28"/>
          <w:szCs w:val="28"/>
        </w:rPr>
        <w:t xml:space="preserve">де: </w:t>
      </w:r>
      <w:r w:rsidRPr="002A27AF">
        <w:rPr>
          <w:i/>
          <w:iCs/>
          <w:color w:val="000000"/>
          <w:sz w:val="28"/>
          <w:szCs w:val="28"/>
        </w:rPr>
        <w:t>Е</w:t>
      </w:r>
      <w:r w:rsidRPr="002A27AF">
        <w:rPr>
          <w:color w:val="000000"/>
          <w:sz w:val="28"/>
          <w:szCs w:val="28"/>
          <w:vertAlign w:val="subscript"/>
        </w:rPr>
        <w:t>с</w:t>
      </w:r>
      <w:r w:rsidRPr="002A27AF">
        <w:rPr>
          <w:color w:val="000000"/>
          <w:sz w:val="28"/>
          <w:szCs w:val="28"/>
        </w:rPr>
        <w:t> — соціальний ефект від запровадження нового ЛП;</w:t>
      </w:r>
      <w:r w:rsidRPr="002A27AF">
        <w:rPr>
          <w:i/>
          <w:iCs/>
          <w:color w:val="000000"/>
          <w:sz w:val="28"/>
          <w:szCs w:val="28"/>
        </w:rPr>
        <w:t xml:space="preserve"> З </w:t>
      </w:r>
      <w:r w:rsidRPr="002A27AF">
        <w:rPr>
          <w:color w:val="000000"/>
          <w:sz w:val="28"/>
          <w:szCs w:val="28"/>
        </w:rPr>
        <w:t xml:space="preserve">— прогнозована кількість захворювань за певною нозологією; </w:t>
      </w:r>
      <w:proofErr w:type="spellStart"/>
      <w:r w:rsidRPr="002A27AF">
        <w:rPr>
          <w:i/>
          <w:iCs/>
          <w:color w:val="000000"/>
          <w:sz w:val="28"/>
          <w:szCs w:val="28"/>
        </w:rPr>
        <w:t>j</w:t>
      </w:r>
      <w:r w:rsidRPr="002A27AF">
        <w:rPr>
          <w:color w:val="000000"/>
          <w:sz w:val="28"/>
          <w:szCs w:val="28"/>
          <w:vertAlign w:val="subscript"/>
        </w:rPr>
        <w:t>h</w:t>
      </w:r>
      <w:proofErr w:type="spellEnd"/>
      <w:r w:rsidRPr="002A27AF">
        <w:rPr>
          <w:color w:val="000000"/>
          <w:sz w:val="28"/>
          <w:szCs w:val="28"/>
        </w:rPr>
        <w:t xml:space="preserve"> i </w:t>
      </w:r>
      <w:proofErr w:type="spellStart"/>
      <w:r w:rsidRPr="002A27AF">
        <w:rPr>
          <w:i/>
          <w:iCs/>
          <w:color w:val="000000"/>
          <w:sz w:val="28"/>
          <w:szCs w:val="28"/>
        </w:rPr>
        <w:t>j</w:t>
      </w:r>
      <w:r w:rsidRPr="002A27AF">
        <w:rPr>
          <w:color w:val="000000"/>
          <w:sz w:val="28"/>
          <w:szCs w:val="28"/>
          <w:vertAlign w:val="subscript"/>
        </w:rPr>
        <w:t>б</w:t>
      </w:r>
      <w:proofErr w:type="spellEnd"/>
      <w:r w:rsidRPr="002A27AF">
        <w:rPr>
          <w:color w:val="000000"/>
          <w:sz w:val="28"/>
          <w:szCs w:val="28"/>
        </w:rPr>
        <w:t xml:space="preserve"> — коефіцієнт частоти призначень нового ЛП і препарату, обраного для порівняння відповідно; </w:t>
      </w:r>
      <w:proofErr w:type="spellStart"/>
      <w:r w:rsidRPr="002A27AF">
        <w:rPr>
          <w:i/>
          <w:iCs/>
          <w:color w:val="000000"/>
          <w:sz w:val="28"/>
          <w:szCs w:val="28"/>
        </w:rPr>
        <w:t>ДС</w:t>
      </w:r>
      <w:r w:rsidRPr="002A27AF">
        <w:rPr>
          <w:color w:val="000000"/>
          <w:sz w:val="28"/>
          <w:szCs w:val="28"/>
          <w:vertAlign w:val="subscript"/>
        </w:rPr>
        <w:t>h</w:t>
      </w:r>
      <w:proofErr w:type="spellEnd"/>
      <w:r w:rsidRPr="002A27AF">
        <w:rPr>
          <w:color w:val="000000"/>
          <w:sz w:val="28"/>
          <w:szCs w:val="28"/>
        </w:rPr>
        <w:t xml:space="preserve"> і </w:t>
      </w:r>
      <w:proofErr w:type="spellStart"/>
      <w:r w:rsidRPr="002A27AF">
        <w:rPr>
          <w:i/>
          <w:iCs/>
          <w:color w:val="000000"/>
          <w:sz w:val="28"/>
          <w:szCs w:val="28"/>
        </w:rPr>
        <w:t>ДС</w:t>
      </w:r>
      <w:r w:rsidRPr="002A27AF">
        <w:rPr>
          <w:color w:val="000000"/>
          <w:sz w:val="28"/>
          <w:szCs w:val="28"/>
          <w:vertAlign w:val="subscript"/>
        </w:rPr>
        <w:t>б</w:t>
      </w:r>
      <w:proofErr w:type="spellEnd"/>
      <w:r w:rsidRPr="002A27AF">
        <w:rPr>
          <w:i/>
          <w:iCs/>
          <w:color w:val="000000"/>
          <w:sz w:val="28"/>
          <w:szCs w:val="28"/>
        </w:rPr>
        <w:t> </w:t>
      </w:r>
      <w:r w:rsidRPr="002A27AF">
        <w:rPr>
          <w:color w:val="000000"/>
          <w:sz w:val="28"/>
          <w:szCs w:val="28"/>
        </w:rPr>
        <w:t xml:space="preserve">— відповідно прямі витрати, пов’язані з вибором медикаментозної схеми лікування з використанням нового ЛП і препарату, обраного для порівняння; </w:t>
      </w:r>
      <w:proofErr w:type="spellStart"/>
      <w:r w:rsidRPr="002A27AF">
        <w:rPr>
          <w:i/>
          <w:iCs/>
          <w:color w:val="000000"/>
          <w:sz w:val="28"/>
          <w:szCs w:val="28"/>
        </w:rPr>
        <w:t>ІС</w:t>
      </w:r>
      <w:r w:rsidRPr="002A27AF">
        <w:rPr>
          <w:color w:val="000000"/>
          <w:sz w:val="28"/>
          <w:szCs w:val="28"/>
          <w:vertAlign w:val="subscript"/>
        </w:rPr>
        <w:t>h</w:t>
      </w:r>
      <w:proofErr w:type="spellEnd"/>
      <w:r w:rsidRPr="002A27AF">
        <w:rPr>
          <w:color w:val="000000"/>
          <w:sz w:val="28"/>
          <w:szCs w:val="28"/>
        </w:rPr>
        <w:t xml:space="preserve"> і </w:t>
      </w:r>
      <w:proofErr w:type="spellStart"/>
      <w:r w:rsidRPr="002A27AF">
        <w:rPr>
          <w:i/>
          <w:iCs/>
          <w:color w:val="000000"/>
          <w:sz w:val="28"/>
          <w:szCs w:val="28"/>
        </w:rPr>
        <w:t>ІС</w:t>
      </w:r>
      <w:r w:rsidRPr="002A27AF">
        <w:rPr>
          <w:color w:val="000000"/>
          <w:sz w:val="28"/>
          <w:szCs w:val="28"/>
          <w:vertAlign w:val="subscript"/>
        </w:rPr>
        <w:t>б</w:t>
      </w:r>
      <w:proofErr w:type="spellEnd"/>
      <w:r w:rsidRPr="002A27AF">
        <w:rPr>
          <w:i/>
          <w:iCs/>
          <w:color w:val="000000"/>
          <w:sz w:val="28"/>
          <w:szCs w:val="28"/>
        </w:rPr>
        <w:t> </w:t>
      </w:r>
      <w:r w:rsidRPr="002A27AF">
        <w:rPr>
          <w:color w:val="000000"/>
          <w:sz w:val="28"/>
          <w:szCs w:val="28"/>
        </w:rPr>
        <w:t>— відповідно</w:t>
      </w:r>
      <w:r w:rsidRPr="002A27AF">
        <w:rPr>
          <w:i/>
          <w:iCs/>
          <w:color w:val="000000"/>
          <w:sz w:val="28"/>
          <w:szCs w:val="28"/>
        </w:rPr>
        <w:t xml:space="preserve"> </w:t>
      </w:r>
      <w:r w:rsidRPr="002A27AF">
        <w:rPr>
          <w:color w:val="000000"/>
          <w:sz w:val="28"/>
          <w:szCs w:val="28"/>
        </w:rPr>
        <w:t xml:space="preserve">непрямі витрати, пов’язані з вибором медикаментозної схеми лікування з використанням нового ЛП і препарату, обраного для порівняння; </w:t>
      </w:r>
      <w:proofErr w:type="spellStart"/>
      <w:r w:rsidRPr="002A27AF">
        <w:rPr>
          <w:i/>
          <w:iCs/>
          <w:color w:val="000000"/>
          <w:sz w:val="28"/>
          <w:szCs w:val="28"/>
        </w:rPr>
        <w:t>Ef</w:t>
      </w:r>
      <w:r w:rsidRPr="002A27AF">
        <w:rPr>
          <w:color w:val="000000"/>
          <w:sz w:val="28"/>
          <w:szCs w:val="28"/>
          <w:vertAlign w:val="subscript"/>
        </w:rPr>
        <w:t>h</w:t>
      </w:r>
      <w:proofErr w:type="spellEnd"/>
      <w:r w:rsidRPr="002A27AF">
        <w:rPr>
          <w:color w:val="000000"/>
          <w:sz w:val="28"/>
          <w:szCs w:val="28"/>
        </w:rPr>
        <w:t xml:space="preserve"> і </w:t>
      </w:r>
      <w:proofErr w:type="spellStart"/>
      <w:r w:rsidRPr="002A27AF">
        <w:rPr>
          <w:color w:val="000000"/>
          <w:sz w:val="28"/>
          <w:szCs w:val="28"/>
        </w:rPr>
        <w:t>E</w:t>
      </w:r>
      <w:r w:rsidRPr="002A27AF">
        <w:rPr>
          <w:i/>
          <w:iCs/>
          <w:color w:val="000000"/>
          <w:sz w:val="28"/>
          <w:szCs w:val="28"/>
        </w:rPr>
        <w:t>f</w:t>
      </w:r>
      <w:r w:rsidRPr="002A27AF">
        <w:rPr>
          <w:color w:val="000000"/>
          <w:sz w:val="28"/>
          <w:szCs w:val="28"/>
          <w:vertAlign w:val="subscript"/>
        </w:rPr>
        <w:t>б</w:t>
      </w:r>
      <w:proofErr w:type="spellEnd"/>
      <w:r w:rsidRPr="002A27AF">
        <w:rPr>
          <w:i/>
          <w:iCs/>
          <w:color w:val="000000"/>
          <w:sz w:val="28"/>
          <w:szCs w:val="28"/>
        </w:rPr>
        <w:t> </w:t>
      </w:r>
      <w:r w:rsidRPr="002A27AF">
        <w:rPr>
          <w:color w:val="000000"/>
          <w:sz w:val="28"/>
          <w:szCs w:val="28"/>
        </w:rPr>
        <w:t xml:space="preserve">— відповідно показники ефективності лікування при використанні нового ЛП і препарату порівняння (відсоток </w:t>
      </w:r>
      <w:proofErr w:type="spellStart"/>
      <w:r w:rsidRPr="002A27AF">
        <w:rPr>
          <w:color w:val="000000"/>
          <w:sz w:val="28"/>
          <w:szCs w:val="28"/>
        </w:rPr>
        <w:t>вилікованих</w:t>
      </w:r>
      <w:proofErr w:type="spellEnd"/>
      <w:r w:rsidRPr="002A27AF">
        <w:rPr>
          <w:color w:val="000000"/>
          <w:sz w:val="28"/>
          <w:szCs w:val="28"/>
        </w:rPr>
        <w:t xml:space="preserve"> хворих; відсоток летальних випадків та ін.);</w:t>
      </w:r>
      <w:r w:rsidRPr="002A27A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A27AF">
        <w:rPr>
          <w:i/>
          <w:iCs/>
          <w:color w:val="000000"/>
          <w:sz w:val="28"/>
          <w:szCs w:val="28"/>
        </w:rPr>
        <w:t>Ut</w:t>
      </w:r>
      <w:r w:rsidRPr="002A27AF">
        <w:rPr>
          <w:color w:val="000000"/>
          <w:sz w:val="28"/>
          <w:szCs w:val="28"/>
          <w:vertAlign w:val="subscript"/>
        </w:rPr>
        <w:t>h</w:t>
      </w:r>
      <w:proofErr w:type="spellEnd"/>
      <w:r w:rsidRPr="002A27AF">
        <w:rPr>
          <w:color w:val="000000"/>
          <w:sz w:val="28"/>
          <w:szCs w:val="28"/>
        </w:rPr>
        <w:t xml:space="preserve"> і </w:t>
      </w:r>
      <w:proofErr w:type="spellStart"/>
      <w:r w:rsidRPr="002A27AF">
        <w:rPr>
          <w:color w:val="000000"/>
          <w:sz w:val="28"/>
          <w:szCs w:val="28"/>
        </w:rPr>
        <w:t>Ut</w:t>
      </w:r>
      <w:r w:rsidRPr="002A27AF">
        <w:rPr>
          <w:color w:val="000000"/>
          <w:sz w:val="28"/>
          <w:szCs w:val="28"/>
          <w:vertAlign w:val="subscript"/>
        </w:rPr>
        <w:t>б</w:t>
      </w:r>
      <w:proofErr w:type="spellEnd"/>
      <w:r w:rsidRPr="002A27AF">
        <w:rPr>
          <w:i/>
          <w:iCs/>
          <w:color w:val="000000"/>
          <w:sz w:val="28"/>
          <w:szCs w:val="28"/>
        </w:rPr>
        <w:t> </w:t>
      </w:r>
      <w:r w:rsidRPr="002A27AF">
        <w:rPr>
          <w:color w:val="000000"/>
          <w:sz w:val="28"/>
          <w:szCs w:val="28"/>
        </w:rPr>
        <w:t>— відповідно показник корисності (утилітарності) медикаментозної схеми лікування при використанні нового ЛП і препаратом порівняння.</w:t>
      </w:r>
    </w:p>
    <w:p w:rsidR="002A27AF" w:rsidRPr="002A27AF" w:rsidRDefault="002A27AF" w:rsidP="002A27AF">
      <w:pPr>
        <w:pStyle w:val="a3"/>
        <w:spacing w:before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A27AF">
        <w:rPr>
          <w:color w:val="000000"/>
          <w:sz w:val="28"/>
          <w:szCs w:val="28"/>
        </w:rPr>
        <w:t>Соціальний ефект також може бути пов’я</w:t>
      </w:r>
      <w:r w:rsidRPr="002A27AF">
        <w:rPr>
          <w:color w:val="000000"/>
          <w:sz w:val="28"/>
          <w:szCs w:val="28"/>
        </w:rPr>
        <w:softHyphen/>
        <w:t xml:space="preserve">заний із зростанням виробничих </w:t>
      </w:r>
      <w:proofErr w:type="spellStart"/>
      <w:r w:rsidRPr="002A27AF">
        <w:rPr>
          <w:color w:val="000000"/>
          <w:sz w:val="28"/>
          <w:szCs w:val="28"/>
        </w:rPr>
        <w:t>потужностей</w:t>
      </w:r>
      <w:proofErr w:type="spellEnd"/>
      <w:r w:rsidRPr="002A27AF">
        <w:rPr>
          <w:color w:val="000000"/>
          <w:sz w:val="28"/>
          <w:szCs w:val="28"/>
        </w:rPr>
        <w:t>, призначених для виробництва ЛП, що використовуються при лікуванні соціально небезпечних захворювань. У цьому випадку враховується народногосподарська економія, пов’язана з можливим запобіганням витратам, обумовленим розповсюдженням цих захворювань і потенційною можливістю виникнення епідемій.</w:t>
      </w:r>
    </w:p>
    <w:p w:rsidR="005912CD" w:rsidRDefault="005912CD"/>
    <w:sectPr w:rsidR="00591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0C"/>
    <w:rsid w:val="00022945"/>
    <w:rsid w:val="00043209"/>
    <w:rsid w:val="0006763B"/>
    <w:rsid w:val="0008792D"/>
    <w:rsid w:val="000B0AA6"/>
    <w:rsid w:val="000B6199"/>
    <w:rsid w:val="000E314A"/>
    <w:rsid w:val="000E3DED"/>
    <w:rsid w:val="000E3F13"/>
    <w:rsid w:val="00100BB1"/>
    <w:rsid w:val="00113A78"/>
    <w:rsid w:val="0011583F"/>
    <w:rsid w:val="001431C3"/>
    <w:rsid w:val="0014700A"/>
    <w:rsid w:val="00175CC5"/>
    <w:rsid w:val="001A7B03"/>
    <w:rsid w:val="001B26AA"/>
    <w:rsid w:val="001B6E46"/>
    <w:rsid w:val="001D1255"/>
    <w:rsid w:val="00257A91"/>
    <w:rsid w:val="0026288B"/>
    <w:rsid w:val="0026323A"/>
    <w:rsid w:val="00266237"/>
    <w:rsid w:val="002818A2"/>
    <w:rsid w:val="002A27AF"/>
    <w:rsid w:val="002B1802"/>
    <w:rsid w:val="002F296E"/>
    <w:rsid w:val="0032153B"/>
    <w:rsid w:val="003357E6"/>
    <w:rsid w:val="00363AA6"/>
    <w:rsid w:val="0037383F"/>
    <w:rsid w:val="00373A98"/>
    <w:rsid w:val="00396B2A"/>
    <w:rsid w:val="003D0362"/>
    <w:rsid w:val="003D1097"/>
    <w:rsid w:val="003E48BB"/>
    <w:rsid w:val="003F3E61"/>
    <w:rsid w:val="00422E7E"/>
    <w:rsid w:val="00470992"/>
    <w:rsid w:val="004C1C7E"/>
    <w:rsid w:val="004D14C1"/>
    <w:rsid w:val="004F1D7C"/>
    <w:rsid w:val="004F639E"/>
    <w:rsid w:val="00501585"/>
    <w:rsid w:val="00501E7F"/>
    <w:rsid w:val="005074C1"/>
    <w:rsid w:val="0052171A"/>
    <w:rsid w:val="00530713"/>
    <w:rsid w:val="005527E1"/>
    <w:rsid w:val="005758A8"/>
    <w:rsid w:val="005912CD"/>
    <w:rsid w:val="005A0D68"/>
    <w:rsid w:val="005A2E86"/>
    <w:rsid w:val="005B39D6"/>
    <w:rsid w:val="005D373B"/>
    <w:rsid w:val="005F4B5C"/>
    <w:rsid w:val="00612A35"/>
    <w:rsid w:val="0066085A"/>
    <w:rsid w:val="0067734A"/>
    <w:rsid w:val="006B3249"/>
    <w:rsid w:val="006D294F"/>
    <w:rsid w:val="006E50B5"/>
    <w:rsid w:val="00703829"/>
    <w:rsid w:val="00714461"/>
    <w:rsid w:val="00723921"/>
    <w:rsid w:val="00767488"/>
    <w:rsid w:val="0078111C"/>
    <w:rsid w:val="00783FAE"/>
    <w:rsid w:val="007B581D"/>
    <w:rsid w:val="007D2C31"/>
    <w:rsid w:val="00811A03"/>
    <w:rsid w:val="00822242"/>
    <w:rsid w:val="008502DF"/>
    <w:rsid w:val="0085458E"/>
    <w:rsid w:val="00860145"/>
    <w:rsid w:val="00876A14"/>
    <w:rsid w:val="00887EC8"/>
    <w:rsid w:val="00893D29"/>
    <w:rsid w:val="00894034"/>
    <w:rsid w:val="008A1B91"/>
    <w:rsid w:val="008B1DAB"/>
    <w:rsid w:val="008B7510"/>
    <w:rsid w:val="008F17A0"/>
    <w:rsid w:val="00900D39"/>
    <w:rsid w:val="0093783F"/>
    <w:rsid w:val="0096772A"/>
    <w:rsid w:val="009767BA"/>
    <w:rsid w:val="009A708B"/>
    <w:rsid w:val="009C719B"/>
    <w:rsid w:val="009E35DC"/>
    <w:rsid w:val="00A013D0"/>
    <w:rsid w:val="00A03A30"/>
    <w:rsid w:val="00A54181"/>
    <w:rsid w:val="00A577DD"/>
    <w:rsid w:val="00A57E26"/>
    <w:rsid w:val="00A73187"/>
    <w:rsid w:val="00A90184"/>
    <w:rsid w:val="00AD13BF"/>
    <w:rsid w:val="00AF0CF4"/>
    <w:rsid w:val="00B104ED"/>
    <w:rsid w:val="00B57EA5"/>
    <w:rsid w:val="00B57FE6"/>
    <w:rsid w:val="00B836FB"/>
    <w:rsid w:val="00B97063"/>
    <w:rsid w:val="00BD32D8"/>
    <w:rsid w:val="00BE24D6"/>
    <w:rsid w:val="00C0583D"/>
    <w:rsid w:val="00C064BD"/>
    <w:rsid w:val="00C141C3"/>
    <w:rsid w:val="00C40A34"/>
    <w:rsid w:val="00C57C80"/>
    <w:rsid w:val="00C72631"/>
    <w:rsid w:val="00CA38F7"/>
    <w:rsid w:val="00CA4DDB"/>
    <w:rsid w:val="00CD23DF"/>
    <w:rsid w:val="00CE15D4"/>
    <w:rsid w:val="00CE70F9"/>
    <w:rsid w:val="00D05645"/>
    <w:rsid w:val="00D12F43"/>
    <w:rsid w:val="00D1796D"/>
    <w:rsid w:val="00D34EF8"/>
    <w:rsid w:val="00D52F82"/>
    <w:rsid w:val="00D73603"/>
    <w:rsid w:val="00D85659"/>
    <w:rsid w:val="00DA1ADB"/>
    <w:rsid w:val="00DA34C9"/>
    <w:rsid w:val="00DA70D6"/>
    <w:rsid w:val="00DB7A90"/>
    <w:rsid w:val="00DC4949"/>
    <w:rsid w:val="00DE0F37"/>
    <w:rsid w:val="00E31B9A"/>
    <w:rsid w:val="00E558CF"/>
    <w:rsid w:val="00E61B0C"/>
    <w:rsid w:val="00E80213"/>
    <w:rsid w:val="00E86A0B"/>
    <w:rsid w:val="00E93FD8"/>
    <w:rsid w:val="00F03D75"/>
    <w:rsid w:val="00F05B13"/>
    <w:rsid w:val="00F32736"/>
    <w:rsid w:val="00F34F5E"/>
    <w:rsid w:val="00F55CC6"/>
    <w:rsid w:val="00F61DA4"/>
    <w:rsid w:val="00FD191D"/>
    <w:rsid w:val="00FD6DD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C14E-508D-4FBD-9760-4B03CFF0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A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7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01781">
                                                      <w:marLeft w:val="3375"/>
                                                      <w:marRight w:val="3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26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5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7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1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87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7747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75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35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72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6000">
                              <w:marLeft w:val="4395"/>
                              <w:marRight w:val="4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288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2812</Words>
  <Characters>1603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2015-03-10T09:10:00Z</dcterms:created>
  <dcterms:modified xsi:type="dcterms:W3CDTF">2015-03-10T09:14:00Z</dcterms:modified>
</cp:coreProperties>
</file>