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301ED" w14:textId="38D917F7" w:rsidR="00FD0D1A" w:rsidRPr="003C3431" w:rsidRDefault="00FD0D1A" w:rsidP="00FD0D1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47D1">
        <w:rPr>
          <w:rFonts w:ascii="Times New Roman" w:hAnsi="Times New Roman" w:cs="Times New Roman"/>
          <w:b/>
          <w:sz w:val="28"/>
          <w:szCs w:val="28"/>
        </w:rPr>
        <w:t xml:space="preserve">Силабус навчальної дисципліни </w:t>
      </w:r>
      <w:r w:rsidRPr="00EE47D1">
        <w:rPr>
          <w:rFonts w:ascii="Times New Roman" w:hAnsi="Times New Roman" w:cs="Times New Roman"/>
          <w:b/>
          <w:sz w:val="28"/>
          <w:szCs w:val="28"/>
        </w:rPr>
        <w:br/>
      </w:r>
      <w:r w:rsidRPr="003C343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F1F0D">
        <w:rPr>
          <w:rFonts w:ascii="Times New Roman" w:hAnsi="Times New Roman" w:cs="Times New Roman"/>
          <w:i/>
          <w:sz w:val="28"/>
          <w:szCs w:val="28"/>
          <w:lang w:val="ru-RU"/>
        </w:rPr>
        <w:t>Митно-тарифне адміністрування та контроль</w:t>
      </w:r>
      <w:r w:rsidRPr="003C343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348D99AB" w14:textId="77777777" w:rsidR="00FD0D1A" w:rsidRPr="00552BEB" w:rsidRDefault="00FD0D1A" w:rsidP="00FD0D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781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09"/>
        <w:gridCol w:w="5386"/>
      </w:tblGrid>
      <w:tr w:rsidR="002869D7" w:rsidRPr="00552BEB" w14:paraId="32724843" w14:textId="77777777" w:rsidTr="007676FF">
        <w:tc>
          <w:tcPr>
            <w:tcW w:w="3686" w:type="dxa"/>
          </w:tcPr>
          <w:p w14:paraId="374D1448" w14:textId="77777777" w:rsidR="002869D7" w:rsidRPr="00552BEB" w:rsidRDefault="002869D7" w:rsidP="00767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Спеціальність</w:t>
            </w:r>
          </w:p>
        </w:tc>
        <w:tc>
          <w:tcPr>
            <w:tcW w:w="6095" w:type="dxa"/>
            <w:gridSpan w:val="2"/>
          </w:tcPr>
          <w:p w14:paraId="230FDBDC" w14:textId="77777777" w:rsidR="002869D7" w:rsidRPr="009325A1" w:rsidRDefault="002869D7" w:rsidP="00AA53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25A1">
              <w:rPr>
                <w:rFonts w:ascii="Times New Roman" w:hAnsi="Times New Roman" w:cs="Times New Roman"/>
                <w:i/>
                <w:sz w:val="24"/>
                <w:szCs w:val="24"/>
              </w:rPr>
              <w:t>072 «Фінанси, банківська справа, страхування та фондовий ринок»</w:t>
            </w:r>
          </w:p>
        </w:tc>
      </w:tr>
      <w:tr w:rsidR="002869D7" w:rsidRPr="00552BEB" w14:paraId="5C40051A" w14:textId="77777777" w:rsidTr="007676FF">
        <w:tc>
          <w:tcPr>
            <w:tcW w:w="3686" w:type="dxa"/>
          </w:tcPr>
          <w:p w14:paraId="654AF4CD" w14:textId="77777777" w:rsidR="002869D7" w:rsidRPr="00552BEB" w:rsidRDefault="002869D7" w:rsidP="00767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Освітня програма</w:t>
            </w:r>
          </w:p>
        </w:tc>
        <w:tc>
          <w:tcPr>
            <w:tcW w:w="6095" w:type="dxa"/>
            <w:gridSpan w:val="2"/>
          </w:tcPr>
          <w:p w14:paraId="079E3ABC" w14:textId="77777777" w:rsidR="002869D7" w:rsidRPr="002A0325" w:rsidRDefault="002869D7" w:rsidP="00AA53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325">
              <w:rPr>
                <w:rFonts w:ascii="Times New Roman" w:hAnsi="Times New Roman" w:cs="Times New Roman"/>
                <w:i/>
                <w:sz w:val="24"/>
                <w:szCs w:val="24"/>
              </w:rPr>
              <w:t>Митн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ий контроль</w:t>
            </w:r>
          </w:p>
        </w:tc>
      </w:tr>
      <w:tr w:rsidR="002869D7" w:rsidRPr="00552BEB" w14:paraId="796A78C7" w14:textId="77777777" w:rsidTr="007676FF">
        <w:tc>
          <w:tcPr>
            <w:tcW w:w="3686" w:type="dxa"/>
          </w:tcPr>
          <w:p w14:paraId="1F10A93D" w14:textId="77777777" w:rsidR="002869D7" w:rsidRPr="00552BEB" w:rsidRDefault="002869D7" w:rsidP="00767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Освітній рівень</w:t>
            </w:r>
          </w:p>
        </w:tc>
        <w:tc>
          <w:tcPr>
            <w:tcW w:w="6095" w:type="dxa"/>
            <w:gridSpan w:val="2"/>
          </w:tcPr>
          <w:p w14:paraId="5D394720" w14:textId="77777777" w:rsidR="002869D7" w:rsidRPr="002A0325" w:rsidRDefault="002869D7" w:rsidP="00AA53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Другий (магістерський) рівень вищої освіти</w:t>
            </w:r>
            <w:r w:rsidRPr="002A03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2869D7" w:rsidRPr="00552BEB" w14:paraId="114D0C4E" w14:textId="77777777" w:rsidTr="007676FF">
        <w:tc>
          <w:tcPr>
            <w:tcW w:w="3686" w:type="dxa"/>
          </w:tcPr>
          <w:p w14:paraId="04A8688D" w14:textId="77777777" w:rsidR="002869D7" w:rsidRPr="00552BEB" w:rsidRDefault="002869D7" w:rsidP="0076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Статус дисципліни</w:t>
            </w:r>
          </w:p>
        </w:tc>
        <w:tc>
          <w:tcPr>
            <w:tcW w:w="6095" w:type="dxa"/>
            <w:gridSpan w:val="2"/>
          </w:tcPr>
          <w:p w14:paraId="4BBF9F3F" w14:textId="77777777" w:rsidR="002869D7" w:rsidRPr="002A0325" w:rsidRDefault="002869D7" w:rsidP="00AA53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Обов’язкова </w:t>
            </w:r>
          </w:p>
        </w:tc>
      </w:tr>
      <w:tr w:rsidR="002869D7" w:rsidRPr="00552BEB" w14:paraId="290BDC62" w14:textId="77777777" w:rsidTr="007676FF">
        <w:tc>
          <w:tcPr>
            <w:tcW w:w="3686" w:type="dxa"/>
          </w:tcPr>
          <w:p w14:paraId="53DDCCB3" w14:textId="77777777" w:rsidR="002869D7" w:rsidRPr="00552BEB" w:rsidRDefault="002869D7" w:rsidP="00767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Мова викладання</w:t>
            </w:r>
          </w:p>
        </w:tc>
        <w:tc>
          <w:tcPr>
            <w:tcW w:w="6095" w:type="dxa"/>
            <w:gridSpan w:val="2"/>
          </w:tcPr>
          <w:p w14:paraId="7F02C9FD" w14:textId="77777777" w:rsidR="002869D7" w:rsidRPr="002A0325" w:rsidRDefault="002869D7" w:rsidP="00AA53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3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Українська </w:t>
            </w:r>
          </w:p>
        </w:tc>
      </w:tr>
      <w:tr w:rsidR="002869D7" w:rsidRPr="00552BEB" w14:paraId="1CDEA65E" w14:textId="77777777" w:rsidTr="007676FF">
        <w:tc>
          <w:tcPr>
            <w:tcW w:w="3686" w:type="dxa"/>
          </w:tcPr>
          <w:p w14:paraId="47125D9D" w14:textId="77777777" w:rsidR="002869D7" w:rsidRPr="00552BEB" w:rsidRDefault="002869D7" w:rsidP="00767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Курс / семестр</w:t>
            </w:r>
          </w:p>
        </w:tc>
        <w:tc>
          <w:tcPr>
            <w:tcW w:w="6095" w:type="dxa"/>
            <w:gridSpan w:val="2"/>
          </w:tcPr>
          <w:p w14:paraId="269E2ADA" w14:textId="7203A729" w:rsidR="002869D7" w:rsidRPr="002A0325" w:rsidRDefault="002869D7" w:rsidP="002869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2A03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курс, </w:t>
            </w:r>
            <w:r w:rsidR="00CF1F0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A0325">
              <w:rPr>
                <w:rFonts w:ascii="Times New Roman" w:hAnsi="Times New Roman" w:cs="Times New Roman"/>
                <w:i/>
                <w:sz w:val="24"/>
                <w:szCs w:val="24"/>
              </w:rPr>
              <w:t>семестр</w:t>
            </w:r>
          </w:p>
        </w:tc>
      </w:tr>
      <w:tr w:rsidR="002869D7" w:rsidRPr="00552BEB" w14:paraId="4C788E5F" w14:textId="77777777" w:rsidTr="007676FF">
        <w:tc>
          <w:tcPr>
            <w:tcW w:w="3686" w:type="dxa"/>
          </w:tcPr>
          <w:p w14:paraId="24A12E54" w14:textId="77777777" w:rsidR="002869D7" w:rsidRPr="00552BEB" w:rsidRDefault="002869D7" w:rsidP="00767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кредитів ЄКТС</w:t>
            </w:r>
          </w:p>
        </w:tc>
        <w:tc>
          <w:tcPr>
            <w:tcW w:w="6095" w:type="dxa"/>
            <w:gridSpan w:val="2"/>
          </w:tcPr>
          <w:p w14:paraId="567B1F9C" w14:textId="77777777" w:rsidR="002869D7" w:rsidRPr="00D1740D" w:rsidRDefault="002869D7" w:rsidP="007676FF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кредитів</w:t>
            </w:r>
          </w:p>
        </w:tc>
      </w:tr>
      <w:tr w:rsidR="002869D7" w:rsidRPr="00552BEB" w14:paraId="73A184C7" w14:textId="77777777" w:rsidTr="007676FF">
        <w:tc>
          <w:tcPr>
            <w:tcW w:w="3686" w:type="dxa"/>
            <w:vMerge w:val="restart"/>
          </w:tcPr>
          <w:p w14:paraId="47FA9F2A" w14:textId="77777777" w:rsidR="002869D7" w:rsidRPr="00EE47D1" w:rsidRDefault="002869D7" w:rsidP="00767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7D1">
              <w:rPr>
                <w:rFonts w:ascii="Times New Roman" w:hAnsi="Times New Roman" w:cs="Times New Roman"/>
                <w:b/>
                <w:sz w:val="24"/>
                <w:szCs w:val="24"/>
              </w:rPr>
              <w:t>Розподіл за видами занять та годинами навчання</w:t>
            </w:r>
          </w:p>
        </w:tc>
        <w:tc>
          <w:tcPr>
            <w:tcW w:w="6095" w:type="dxa"/>
            <w:gridSpan w:val="2"/>
          </w:tcPr>
          <w:p w14:paraId="74B8E120" w14:textId="77777777" w:rsidR="002869D7" w:rsidRPr="003D0D86" w:rsidRDefault="002869D7" w:rsidP="00AA53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D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Лекції –  8 год.  </w:t>
            </w:r>
          </w:p>
        </w:tc>
      </w:tr>
      <w:tr w:rsidR="002869D7" w:rsidRPr="00552BEB" w14:paraId="3E26E68E" w14:textId="77777777" w:rsidTr="007676FF">
        <w:tc>
          <w:tcPr>
            <w:tcW w:w="3686" w:type="dxa"/>
            <w:vMerge/>
          </w:tcPr>
          <w:p w14:paraId="166FC5C0" w14:textId="77777777" w:rsidR="002869D7" w:rsidRPr="00EE47D1" w:rsidRDefault="002869D7" w:rsidP="007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5902092D" w14:textId="56D95367" w:rsidR="002869D7" w:rsidRPr="003D0D86" w:rsidRDefault="002869D7" w:rsidP="002869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D86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Практичні (семінарські) – 1</w:t>
            </w:r>
            <w:r w:rsidR="00CF1F0D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3D0D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год.</w:t>
            </w:r>
          </w:p>
        </w:tc>
      </w:tr>
      <w:tr w:rsidR="002869D7" w:rsidRPr="00552BEB" w14:paraId="14903709" w14:textId="77777777" w:rsidTr="007676FF">
        <w:tc>
          <w:tcPr>
            <w:tcW w:w="3686" w:type="dxa"/>
            <w:vMerge/>
          </w:tcPr>
          <w:p w14:paraId="75679BF1" w14:textId="77777777" w:rsidR="002869D7" w:rsidRPr="00EE47D1" w:rsidRDefault="002869D7" w:rsidP="007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22D65BE5" w14:textId="36618E0E" w:rsidR="002869D7" w:rsidRPr="003D0D86" w:rsidRDefault="002869D7" w:rsidP="002869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D86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Лабораторні заняття – 1</w:t>
            </w:r>
            <w:r w:rsidR="00CF1F0D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3D0D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годин </w:t>
            </w:r>
          </w:p>
        </w:tc>
      </w:tr>
      <w:tr w:rsidR="002869D7" w:rsidRPr="00552BEB" w14:paraId="1B0015B9" w14:textId="77777777" w:rsidTr="007676FF">
        <w:tc>
          <w:tcPr>
            <w:tcW w:w="3686" w:type="dxa"/>
            <w:vMerge/>
          </w:tcPr>
          <w:p w14:paraId="7B9C1BBF" w14:textId="77777777" w:rsidR="002869D7" w:rsidRPr="00EE47D1" w:rsidRDefault="002869D7" w:rsidP="0076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2EE17988" w14:textId="6491D4A6" w:rsidR="002869D7" w:rsidRPr="003D0D86" w:rsidRDefault="002869D7" w:rsidP="002869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D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Самостійна робота –  </w:t>
            </w:r>
            <w:r w:rsidR="00CF1F0D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 w:rsidRPr="003D0D86">
              <w:rPr>
                <w:rFonts w:ascii="Times New Roman" w:hAnsi="Times New Roman" w:cs="Times New Roman"/>
                <w:i/>
                <w:sz w:val="24"/>
                <w:szCs w:val="24"/>
              </w:rPr>
              <w:t>0  год.</w:t>
            </w:r>
          </w:p>
        </w:tc>
      </w:tr>
      <w:tr w:rsidR="002869D7" w:rsidRPr="00552BEB" w14:paraId="2B457D21" w14:textId="77777777" w:rsidTr="007676FF">
        <w:tc>
          <w:tcPr>
            <w:tcW w:w="3686" w:type="dxa"/>
          </w:tcPr>
          <w:p w14:paraId="6D4E2056" w14:textId="77777777" w:rsidR="002869D7" w:rsidRPr="00552BEB" w:rsidRDefault="002869D7" w:rsidP="00767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підсумкового контролю</w:t>
            </w:r>
          </w:p>
        </w:tc>
        <w:tc>
          <w:tcPr>
            <w:tcW w:w="6095" w:type="dxa"/>
            <w:gridSpan w:val="2"/>
          </w:tcPr>
          <w:p w14:paraId="693B840B" w14:textId="77777777" w:rsidR="002869D7" w:rsidRPr="00C511AF" w:rsidRDefault="002869D7" w:rsidP="007676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A3E">
              <w:rPr>
                <w:rFonts w:ascii="Times New Roman" w:hAnsi="Times New Roman" w:cs="Times New Roman"/>
                <w:i/>
                <w:sz w:val="24"/>
                <w:szCs w:val="24"/>
              </w:rPr>
              <w:t>Екзамен</w:t>
            </w:r>
          </w:p>
        </w:tc>
      </w:tr>
      <w:tr w:rsidR="002869D7" w:rsidRPr="00552BEB" w14:paraId="10B5C286" w14:textId="77777777" w:rsidTr="007676FF">
        <w:tc>
          <w:tcPr>
            <w:tcW w:w="3686" w:type="dxa"/>
          </w:tcPr>
          <w:p w14:paraId="23DE1A61" w14:textId="77777777" w:rsidR="002869D7" w:rsidRPr="00552BEB" w:rsidRDefault="002869D7" w:rsidP="00767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095" w:type="dxa"/>
            <w:gridSpan w:val="2"/>
          </w:tcPr>
          <w:p w14:paraId="0B6087ED" w14:textId="21CB8AA3" w:rsidR="002869D7" w:rsidRDefault="002869D7" w:rsidP="006D49B7">
            <w:pPr>
              <w:spacing w:line="221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Кафедра </w:t>
            </w:r>
            <w:r w:rsidR="00CF1F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міжнародної торгівлі,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митної справи і фінансових </w:t>
            </w:r>
            <w:r w:rsidR="00CF1F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технологій,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ауд. 308 1 корпусу, </w:t>
            </w:r>
          </w:p>
          <w:p w14:paraId="114B4C2B" w14:textId="77777777" w:rsidR="002869D7" w:rsidRPr="00C511AF" w:rsidRDefault="002869D7" w:rsidP="006D49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сайт кафедри: </w:t>
            </w:r>
            <w:hyperlink r:id="rId6">
              <w:r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http://www.customs.hneu.edu.ua/#</w:t>
              </w:r>
            </w:hyperlink>
          </w:p>
        </w:tc>
      </w:tr>
      <w:tr w:rsidR="002869D7" w:rsidRPr="00552BEB" w14:paraId="3ADA7CF1" w14:textId="77777777" w:rsidTr="007676FF">
        <w:tc>
          <w:tcPr>
            <w:tcW w:w="3686" w:type="dxa"/>
          </w:tcPr>
          <w:p w14:paraId="27F44B4C" w14:textId="77777777" w:rsidR="002869D7" w:rsidRPr="00552BEB" w:rsidRDefault="002869D7" w:rsidP="00767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 (-і)</w:t>
            </w:r>
          </w:p>
        </w:tc>
        <w:tc>
          <w:tcPr>
            <w:tcW w:w="6095" w:type="dxa"/>
            <w:gridSpan w:val="2"/>
          </w:tcPr>
          <w:p w14:paraId="61F97A6C" w14:textId="291DA081" w:rsidR="002869D7" w:rsidRPr="00C511AF" w:rsidRDefault="00CF1F0D" w:rsidP="007676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Остапенко Вікторія Миколаївна</w:t>
            </w:r>
            <w:r w:rsidR="002869D7" w:rsidRPr="00C511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доцент кафедри </w:t>
            </w:r>
          </w:p>
        </w:tc>
      </w:tr>
      <w:tr w:rsidR="002869D7" w:rsidRPr="00552BEB" w14:paraId="5AFE76B2" w14:textId="77777777" w:rsidTr="007676FF">
        <w:tc>
          <w:tcPr>
            <w:tcW w:w="3686" w:type="dxa"/>
          </w:tcPr>
          <w:p w14:paraId="6AF7FF1E" w14:textId="77777777" w:rsidR="002869D7" w:rsidRPr="00552BEB" w:rsidRDefault="002869D7" w:rsidP="00767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икладач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(-і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095" w:type="dxa"/>
            <w:gridSpan w:val="2"/>
          </w:tcPr>
          <w:p w14:paraId="47030C5F" w14:textId="2AEADE9B" w:rsidR="002869D7" w:rsidRPr="00C511AF" w:rsidRDefault="00CF1F0D" w:rsidP="007676F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viktoria.ostapenko@hneu.net</w:t>
            </w:r>
          </w:p>
        </w:tc>
      </w:tr>
      <w:tr w:rsidR="002869D7" w:rsidRPr="00552BEB" w14:paraId="32C58B73" w14:textId="77777777" w:rsidTr="007676FF">
        <w:tc>
          <w:tcPr>
            <w:tcW w:w="3686" w:type="dxa"/>
          </w:tcPr>
          <w:p w14:paraId="6F1C70DD" w14:textId="77777777" w:rsidR="002869D7" w:rsidRPr="00552BEB" w:rsidRDefault="002869D7" w:rsidP="007676FF">
            <w:pPr>
              <w:tabs>
                <w:tab w:val="center" w:pos="21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Дні занять</w:t>
            </w:r>
          </w:p>
        </w:tc>
        <w:tc>
          <w:tcPr>
            <w:tcW w:w="6095" w:type="dxa"/>
            <w:gridSpan w:val="2"/>
          </w:tcPr>
          <w:p w14:paraId="3122C533" w14:textId="77777777" w:rsidR="002869D7" w:rsidRPr="00C2368C" w:rsidRDefault="002869D7" w:rsidP="007676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36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Лекція: </w:t>
            </w:r>
            <w:hyperlink r:id="rId7" w:history="1">
              <w:r w:rsidRPr="00267946">
                <w:rPr>
                  <w:rStyle w:val="a6"/>
                  <w:rFonts w:ascii="Times New Roman" w:hAnsi="Times New Roman" w:cs="Times New Roman"/>
                  <w:i/>
                  <w:sz w:val="24"/>
                  <w:szCs w:val="24"/>
                </w:rPr>
                <w:t>згідно діючого розкладу занять</w:t>
              </w:r>
            </w:hyperlink>
          </w:p>
          <w:p w14:paraId="1DF3F332" w14:textId="77777777" w:rsidR="002869D7" w:rsidRPr="00C511AF" w:rsidRDefault="002869D7" w:rsidP="007676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Практичні: </w:t>
            </w:r>
            <w:hyperlink r:id="rId8" w:history="1">
              <w:r w:rsidRPr="00267946">
                <w:rPr>
                  <w:rStyle w:val="a6"/>
                  <w:rFonts w:ascii="Times New Roman" w:hAnsi="Times New Roman" w:cs="Times New Roman"/>
                  <w:i/>
                  <w:sz w:val="24"/>
                  <w:szCs w:val="24"/>
                </w:rPr>
                <w:t>згідно діючого розкладу занять</w:t>
              </w:r>
            </w:hyperlink>
          </w:p>
        </w:tc>
      </w:tr>
      <w:tr w:rsidR="002869D7" w:rsidRPr="00552BEB" w14:paraId="754759B2" w14:textId="77777777" w:rsidTr="007676FF">
        <w:tc>
          <w:tcPr>
            <w:tcW w:w="3686" w:type="dxa"/>
          </w:tcPr>
          <w:p w14:paraId="5F837CCA" w14:textId="77777777" w:rsidR="002869D7" w:rsidRPr="00552BEB" w:rsidRDefault="002869D7" w:rsidP="00767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Консультації</w:t>
            </w:r>
          </w:p>
        </w:tc>
        <w:tc>
          <w:tcPr>
            <w:tcW w:w="6095" w:type="dxa"/>
            <w:gridSpan w:val="2"/>
          </w:tcPr>
          <w:p w14:paraId="52572C32" w14:textId="21ABBE77" w:rsidR="002869D7" w:rsidRPr="006D49B7" w:rsidRDefault="002869D7" w:rsidP="007676F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6D49B7">
              <w:rPr>
                <w:i/>
                <w:sz w:val="24"/>
                <w:szCs w:val="24"/>
                <w:lang w:val="uk-UA"/>
              </w:rPr>
              <w:t xml:space="preserve">На кафедрі </w:t>
            </w:r>
            <w:r w:rsidR="00CF1F0D" w:rsidRPr="00CF1F0D">
              <w:rPr>
                <w:i/>
                <w:sz w:val="24"/>
                <w:szCs w:val="24"/>
                <w:lang w:val="uk-UA"/>
              </w:rPr>
              <w:t xml:space="preserve">міжнародної торгівлі, митної справи і фінансових </w:t>
            </w:r>
            <w:r w:rsidR="00CF1F0D">
              <w:rPr>
                <w:i/>
                <w:sz w:val="24"/>
                <w:szCs w:val="24"/>
                <w:lang w:val="uk-UA"/>
              </w:rPr>
              <w:t>технологій</w:t>
            </w:r>
            <w:r w:rsidRPr="006D49B7">
              <w:rPr>
                <w:i/>
                <w:sz w:val="24"/>
                <w:szCs w:val="24"/>
                <w:lang w:val="uk-UA"/>
              </w:rPr>
              <w:t>, очні, відповідно до графіку консультацій, індивідуальні</w:t>
            </w:r>
          </w:p>
        </w:tc>
      </w:tr>
      <w:tr w:rsidR="002869D7" w:rsidRPr="001D10DC" w14:paraId="0280AE81" w14:textId="77777777" w:rsidTr="007676FF">
        <w:tc>
          <w:tcPr>
            <w:tcW w:w="9781" w:type="dxa"/>
            <w:gridSpan w:val="3"/>
          </w:tcPr>
          <w:p w14:paraId="4D48F235" w14:textId="1E7D6723" w:rsidR="002869D7" w:rsidRPr="001D10DC" w:rsidRDefault="002869D7" w:rsidP="005C0CDA">
            <w:pPr>
              <w:pStyle w:val="a7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D10DC">
              <w:rPr>
                <w:rFonts w:ascii="Times New Roman" w:hAnsi="Times New Roman" w:cs="Times New Roman"/>
                <w:b/>
                <w:sz w:val="24"/>
                <w:szCs w:val="24"/>
              </w:rPr>
              <w:t>Мета</w:t>
            </w:r>
            <w:r w:rsidRPr="001D1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>навчальної дисципліни –</w:t>
            </w:r>
            <w:r w:rsidRPr="005C0CD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 xml:space="preserve">формування у студентів компетентностей щодо структури </w:t>
            </w:r>
            <w:r w:rsidR="00CF1F0D">
              <w:rPr>
                <w:rFonts w:ascii="Times New Roman" w:hAnsi="Times New Roman" w:cs="Times New Roman"/>
                <w:sz w:val="24"/>
                <w:szCs w:val="24"/>
              </w:rPr>
              <w:t>митно-тарифного адміністрування та контролю</w:t>
            </w:r>
            <w:r w:rsidRPr="005C0C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0CDA">
              <w:rPr>
                <w:rFonts w:ascii="Times New Roman" w:eastAsia="ArialMT" w:hAnsi="Times New Roman" w:cs="Times New Roman"/>
                <w:sz w:val="24"/>
                <w:szCs w:val="24"/>
                <w:lang w:eastAsia="en-US"/>
              </w:rPr>
              <w:t xml:space="preserve">застосування передбачених чинним законодавством </w:t>
            </w:r>
            <w:r w:rsidR="005C0CDA" w:rsidRPr="005C0CDA">
              <w:rPr>
                <w:rFonts w:ascii="Times New Roman" w:eastAsia="ArialMT" w:hAnsi="Times New Roman" w:cs="Times New Roman"/>
                <w:sz w:val="24"/>
                <w:szCs w:val="24"/>
                <w:lang w:eastAsia="en-US"/>
              </w:rPr>
              <w:t xml:space="preserve">процедур </w:t>
            </w:r>
            <w:r w:rsidR="005C0CDA">
              <w:rPr>
                <w:rFonts w:ascii="Times New Roman" w:eastAsia="ArialMT" w:hAnsi="Times New Roman" w:cs="Times New Roman"/>
                <w:sz w:val="24"/>
                <w:szCs w:val="24"/>
                <w:lang w:val="ru-RU" w:eastAsia="en-US"/>
              </w:rPr>
              <w:t>щодо</w:t>
            </w:r>
            <w:r w:rsidRPr="001D10DC">
              <w:rPr>
                <w:rFonts w:ascii="Times New Roman" w:eastAsia="ArialMT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F1F0D" w:rsidRPr="00CF1F0D">
              <w:rPr>
                <w:rFonts w:ascii="Times New Roman" w:eastAsia="ArialMT" w:hAnsi="Times New Roman" w:cs="Times New Roman"/>
                <w:sz w:val="24"/>
                <w:szCs w:val="24"/>
                <w:lang w:eastAsia="en-US"/>
              </w:rPr>
              <w:t>справляння митних платежів, здійснення митного контролю та митного оформлення товарів і транспортних засобів, протидії митним правопорушенням</w:t>
            </w:r>
            <w:r w:rsidR="00CF1F0D">
              <w:rPr>
                <w:rFonts w:ascii="Times New Roman" w:eastAsia="ArialMT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2869D7" w:rsidRPr="00552BEB" w14:paraId="30B80A3B" w14:textId="77777777" w:rsidTr="008B388E">
        <w:trPr>
          <w:trHeight w:val="559"/>
        </w:trPr>
        <w:tc>
          <w:tcPr>
            <w:tcW w:w="9781" w:type="dxa"/>
            <w:gridSpan w:val="3"/>
          </w:tcPr>
          <w:p w14:paraId="1DB336C6" w14:textId="77777777" w:rsidR="002869D7" w:rsidRDefault="002869D7" w:rsidP="008B3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Передумови для навчання</w:t>
            </w:r>
          </w:p>
          <w:p w14:paraId="7F490E57" w14:textId="77777777" w:rsidR="002869D7" w:rsidRPr="00E63A25" w:rsidRDefault="002869D7" w:rsidP="008B3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A25">
              <w:rPr>
                <w:rFonts w:ascii="Times New Roman" w:hAnsi="Times New Roman" w:cs="Times New Roman"/>
                <w:sz w:val="24"/>
                <w:szCs w:val="24"/>
              </w:rPr>
              <w:t xml:space="preserve">Економіка підприємства, Фінанси, гроші та кредит, Бухгалтерський облік, Податкова система </w:t>
            </w:r>
          </w:p>
        </w:tc>
      </w:tr>
      <w:tr w:rsidR="002869D7" w:rsidRPr="00552BEB" w14:paraId="5DFC0062" w14:textId="77777777" w:rsidTr="007676FF">
        <w:tc>
          <w:tcPr>
            <w:tcW w:w="9781" w:type="dxa"/>
            <w:gridSpan w:val="3"/>
          </w:tcPr>
          <w:p w14:paraId="1F6D3F32" w14:textId="77777777" w:rsidR="002869D7" w:rsidRPr="003D7F8D" w:rsidRDefault="002869D7" w:rsidP="00767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F8D">
              <w:rPr>
                <w:rFonts w:ascii="Times New Roman" w:hAnsi="Times New Roman" w:cs="Times New Roman"/>
                <w:b/>
                <w:sz w:val="24"/>
                <w:szCs w:val="24"/>
              </w:rPr>
              <w:t>Зміст навчальної дисципліни</w:t>
            </w:r>
          </w:p>
          <w:p w14:paraId="41E8C807" w14:textId="77777777" w:rsidR="00CF1F0D" w:rsidRPr="00CF1F0D" w:rsidRDefault="00CF1F0D" w:rsidP="00CF1F0D">
            <w:pPr>
              <w:pStyle w:val="Default"/>
              <w:rPr>
                <w:b/>
              </w:rPr>
            </w:pPr>
            <w:r w:rsidRPr="00CF1F0D">
              <w:rPr>
                <w:b/>
              </w:rPr>
              <w:t xml:space="preserve">Тема 1. </w:t>
            </w:r>
            <w:r w:rsidRPr="00CF1F0D">
              <w:rPr>
                <w:bCs/>
              </w:rPr>
              <w:t>Теоретичне та інституційне забезпечення митно-тарифного адміністрування та контролю</w:t>
            </w:r>
          </w:p>
          <w:p w14:paraId="6C34982B" w14:textId="77777777" w:rsidR="00CF1F0D" w:rsidRPr="00CF1F0D" w:rsidRDefault="00CF1F0D" w:rsidP="00CF1F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Pr="00CF1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Митно-тарифні інструменти та оцінка митно-тарифного захисту </w:t>
            </w:r>
          </w:p>
          <w:p w14:paraId="3286CA41" w14:textId="77777777" w:rsidR="00CF1F0D" w:rsidRPr="00CF1F0D" w:rsidRDefault="00CF1F0D" w:rsidP="00CF1F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Pr="00CF1F0D">
              <w:rPr>
                <w:rFonts w:ascii="Times New Roman" w:hAnsi="Times New Roman" w:cs="Times New Roman"/>
                <w:bCs/>
                <w:sz w:val="24"/>
                <w:szCs w:val="24"/>
              </w:rPr>
              <w:t>Організаційна та контрольно-перевірочна робота митних органів</w:t>
            </w:r>
          </w:p>
          <w:p w14:paraId="03668DEC" w14:textId="26886559" w:rsidR="00CF1F0D" w:rsidRPr="00CF1F0D" w:rsidRDefault="00CF1F0D" w:rsidP="00CF1F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 w:rsidRPr="00CF1F0D">
              <w:rPr>
                <w:rFonts w:ascii="Times New Roman" w:hAnsi="Times New Roman" w:cs="Times New Roman"/>
                <w:bCs/>
                <w:sz w:val="24"/>
                <w:szCs w:val="24"/>
              </w:rPr>
              <w:t>Зона митного контролю</w:t>
            </w:r>
          </w:p>
          <w:p w14:paraId="41074ED7" w14:textId="77777777" w:rsidR="00CF1F0D" w:rsidRPr="00CF1F0D" w:rsidRDefault="00CF1F0D" w:rsidP="00CF1F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</w:t>
            </w:r>
            <w:r w:rsidRPr="00CF1F0D">
              <w:rPr>
                <w:rFonts w:ascii="Times New Roman" w:hAnsi="Times New Roman" w:cs="Times New Roman"/>
                <w:bCs/>
                <w:sz w:val="24"/>
                <w:szCs w:val="24"/>
              </w:rPr>
              <w:t>Митний огляд товарів та транспортних засобів комерційного призначення</w:t>
            </w:r>
          </w:p>
          <w:p w14:paraId="506862C6" w14:textId="77777777" w:rsidR="00CF1F0D" w:rsidRPr="00CF1F0D" w:rsidRDefault="00CF1F0D" w:rsidP="00CF1F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 </w:t>
            </w:r>
            <w:r w:rsidRPr="00CF1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Технічні засоби митного контролю </w:t>
            </w:r>
          </w:p>
          <w:p w14:paraId="59A4D46F" w14:textId="4FA22982" w:rsidR="00CF1F0D" w:rsidRPr="00CF1F0D" w:rsidRDefault="00CF1F0D" w:rsidP="00CF1F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 </w:t>
            </w:r>
            <w:r w:rsidRPr="00CF1F0D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правильності визначення митної вартості та її декларування</w:t>
            </w:r>
          </w:p>
          <w:p w14:paraId="3625F5B8" w14:textId="77777777" w:rsidR="00CF1F0D" w:rsidRPr="00CF1F0D" w:rsidRDefault="00CF1F0D" w:rsidP="00CF1F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 </w:t>
            </w:r>
            <w:r w:rsidRPr="00CF1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 митних органів у сфері визначення країни походження товарів </w:t>
            </w:r>
          </w:p>
          <w:p w14:paraId="69506032" w14:textId="77777777" w:rsidR="00CF1F0D" w:rsidRPr="00CF1F0D" w:rsidRDefault="00CF1F0D" w:rsidP="00CF1F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9. </w:t>
            </w:r>
            <w:r w:rsidRPr="00CF1F0D">
              <w:rPr>
                <w:rFonts w:ascii="Times New Roman" w:hAnsi="Times New Roman" w:cs="Times New Roman"/>
                <w:bCs/>
                <w:sz w:val="24"/>
                <w:szCs w:val="24"/>
              </w:rPr>
              <w:t>Організація класифікаційної роботи митних органів</w:t>
            </w:r>
          </w:p>
          <w:p w14:paraId="3351A38C" w14:textId="4B873B86" w:rsidR="002869D7" w:rsidRPr="003D7F8D" w:rsidRDefault="00CF1F0D" w:rsidP="00CF1F0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10. </w:t>
            </w:r>
            <w:r w:rsidRPr="00CF1F0D">
              <w:rPr>
                <w:rFonts w:ascii="Times New Roman" w:hAnsi="Times New Roman" w:cs="Times New Roman"/>
                <w:bCs/>
                <w:sz w:val="24"/>
                <w:szCs w:val="24"/>
              </w:rPr>
              <w:t>Ухилення від сплати митних платежів</w:t>
            </w:r>
          </w:p>
        </w:tc>
      </w:tr>
      <w:tr w:rsidR="002869D7" w:rsidRPr="00552BEB" w14:paraId="2BC2FF7B" w14:textId="77777777" w:rsidTr="007676FF">
        <w:tc>
          <w:tcPr>
            <w:tcW w:w="9781" w:type="dxa"/>
            <w:gridSpan w:val="3"/>
          </w:tcPr>
          <w:p w14:paraId="27A7973B" w14:textId="77777777" w:rsidR="002869D7" w:rsidRPr="003D7F8D" w:rsidRDefault="002869D7" w:rsidP="00767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F8D">
              <w:rPr>
                <w:rFonts w:ascii="Times New Roman" w:hAnsi="Times New Roman" w:cs="Times New Roman"/>
                <w:b/>
                <w:sz w:val="24"/>
                <w:szCs w:val="24"/>
              </w:rPr>
              <w:t>Матеріально-технічне (програмне)</w:t>
            </w:r>
            <w:r w:rsidRPr="003D7F8D">
              <w:rPr>
                <w:b/>
                <w:sz w:val="28"/>
                <w:szCs w:val="28"/>
              </w:rPr>
              <w:t xml:space="preserve"> </w:t>
            </w:r>
            <w:r w:rsidRPr="003D7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забезпечення дисципліни </w:t>
            </w:r>
          </w:p>
          <w:p w14:paraId="63616DED" w14:textId="77777777" w:rsidR="002869D7" w:rsidRPr="003D7F8D" w:rsidRDefault="002869D7" w:rsidP="00767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F8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MS</w:t>
            </w:r>
            <w:r w:rsidRPr="003D7F8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3D7F8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Excel</w:t>
            </w:r>
          </w:p>
        </w:tc>
      </w:tr>
      <w:tr w:rsidR="002869D7" w:rsidRPr="00552BEB" w14:paraId="157D4093" w14:textId="77777777" w:rsidTr="007676FF">
        <w:tc>
          <w:tcPr>
            <w:tcW w:w="4395" w:type="dxa"/>
            <w:gridSpan w:val="2"/>
          </w:tcPr>
          <w:p w14:paraId="72CFD81D" w14:textId="77777777" w:rsidR="002869D7" w:rsidRPr="003D7F8D" w:rsidRDefault="002869D7" w:rsidP="00767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F8D">
              <w:rPr>
                <w:rFonts w:ascii="Times New Roman" w:hAnsi="Times New Roman" w:cs="Times New Roman"/>
                <w:b/>
                <w:sz w:val="24"/>
                <w:szCs w:val="24"/>
              </w:rPr>
              <w:t>Сторінка курсу на платформі М</w:t>
            </w:r>
            <w:r w:rsidRPr="003D7F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oodle</w:t>
            </w:r>
            <w:r w:rsidRPr="003D7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(персональна навчальна система)</w:t>
            </w:r>
          </w:p>
        </w:tc>
        <w:tc>
          <w:tcPr>
            <w:tcW w:w="5386" w:type="dxa"/>
          </w:tcPr>
          <w:p w14:paraId="2AA2C6D9" w14:textId="77777777" w:rsidR="002869D7" w:rsidRPr="001D7283" w:rsidRDefault="002869D7" w:rsidP="001D7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728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cyan"/>
              </w:rPr>
              <w:t>ПНС в розробці</w:t>
            </w:r>
          </w:p>
          <w:p w14:paraId="41B3457A" w14:textId="77777777" w:rsidR="002869D7" w:rsidRPr="003D7F8D" w:rsidRDefault="002869D7" w:rsidP="007676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F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2869D7" w:rsidRPr="00552BEB" w14:paraId="03ED0282" w14:textId="77777777" w:rsidTr="007676FF">
        <w:tc>
          <w:tcPr>
            <w:tcW w:w="9781" w:type="dxa"/>
            <w:gridSpan w:val="3"/>
          </w:tcPr>
          <w:p w14:paraId="70F6EEF3" w14:textId="77777777" w:rsidR="00CF1F0D" w:rsidRDefault="00CF1F0D" w:rsidP="00767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299A17" w14:textId="77777777" w:rsidR="00CF1F0D" w:rsidRDefault="00CF1F0D" w:rsidP="00767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23066C" w14:textId="4C39D192" w:rsidR="002869D7" w:rsidRPr="00552BEB" w:rsidRDefault="002869D7" w:rsidP="00767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Система оцінювання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результатів навчання</w:t>
            </w:r>
          </w:p>
          <w:p w14:paraId="37BA077F" w14:textId="77777777" w:rsidR="002869D7" w:rsidRDefault="002869D7" w:rsidP="007676FF">
            <w:pPr>
              <w:pStyle w:val="a3"/>
              <w:ind w:left="0" w:firstLine="720"/>
              <w:jc w:val="both"/>
              <w:rPr>
                <w:iCs/>
                <w:sz w:val="24"/>
                <w:szCs w:val="24"/>
                <w:lang w:val="uk-UA"/>
              </w:rPr>
            </w:pPr>
            <w:r w:rsidRPr="00C2368C">
              <w:rPr>
                <w:iCs/>
                <w:sz w:val="24"/>
                <w:szCs w:val="24"/>
                <w:lang w:val="uk-UA"/>
              </w:rPr>
              <w:t>Система оцінювання сформованих компетентностей враховує види занять, які передбачають лекційні</w:t>
            </w:r>
            <w:r>
              <w:rPr>
                <w:iCs/>
                <w:sz w:val="24"/>
                <w:szCs w:val="24"/>
                <w:lang w:val="uk-UA"/>
              </w:rPr>
              <w:t xml:space="preserve">, семінарські, практичні заняття, </w:t>
            </w:r>
            <w:r w:rsidRPr="00C2368C">
              <w:rPr>
                <w:iCs/>
                <w:sz w:val="24"/>
                <w:szCs w:val="24"/>
                <w:lang w:val="uk-UA"/>
              </w:rPr>
              <w:t xml:space="preserve">а також виконання самостійної роботи. Оцінювання сформованих компетентностей у студентів здійснюється за накопичувальною 100-бальною системою. Поточний контроль, що здійснюється протягом семестру під час проведення практичних (семінарських) занять та самостійної роботи оцінюється сумою набраних балів. Максимально можлива кількість балів за поточний та підсумковий </w:t>
            </w:r>
            <w:r>
              <w:rPr>
                <w:iCs/>
                <w:sz w:val="24"/>
                <w:szCs w:val="24"/>
                <w:lang w:val="uk-UA"/>
              </w:rPr>
              <w:t>контроль упродовж семестру – 100</w:t>
            </w:r>
            <w:r w:rsidRPr="00C2368C">
              <w:rPr>
                <w:iCs/>
                <w:sz w:val="24"/>
                <w:szCs w:val="24"/>
                <w:lang w:val="uk-UA"/>
              </w:rPr>
              <w:t xml:space="preserve"> та мінімально можлива кількість</w:t>
            </w:r>
            <w:r>
              <w:rPr>
                <w:iCs/>
                <w:sz w:val="24"/>
                <w:szCs w:val="24"/>
                <w:lang w:val="uk-UA"/>
              </w:rPr>
              <w:t xml:space="preserve"> балів, – 60</w:t>
            </w:r>
            <w:r w:rsidRPr="00C2368C">
              <w:rPr>
                <w:iCs/>
                <w:sz w:val="24"/>
                <w:szCs w:val="24"/>
                <w:lang w:val="uk-UA"/>
              </w:rPr>
              <w:t xml:space="preserve">. </w:t>
            </w:r>
          </w:p>
          <w:p w14:paraId="76BE57B2" w14:textId="77777777" w:rsidR="002869D7" w:rsidRPr="008B705D" w:rsidRDefault="002869D7" w:rsidP="007676FF">
            <w:pPr>
              <w:pStyle w:val="a3"/>
              <w:ind w:left="0" w:firstLine="720"/>
              <w:jc w:val="both"/>
              <w:rPr>
                <w:sz w:val="24"/>
                <w:szCs w:val="24"/>
                <w:lang w:val="uk-UA"/>
              </w:rPr>
            </w:pPr>
            <w:r w:rsidRPr="008B705D">
              <w:rPr>
                <w:iCs/>
                <w:sz w:val="24"/>
                <w:szCs w:val="24"/>
                <w:lang w:val="uk-UA"/>
              </w:rPr>
              <w:t>Поточний контроль включає наступні контрольні заходи</w:t>
            </w:r>
            <w:r>
              <w:rPr>
                <w:sz w:val="24"/>
                <w:szCs w:val="24"/>
                <w:lang w:val="uk-UA"/>
              </w:rPr>
              <w:t xml:space="preserve">: виконання компетентнісно-орієнтованих завдань; </w:t>
            </w:r>
            <w:r w:rsidRPr="00932266">
              <w:rPr>
                <w:rFonts w:eastAsia="Georgia"/>
                <w:sz w:val="24"/>
                <w:szCs w:val="24"/>
                <w:lang w:val="ru-RU"/>
              </w:rPr>
              <w:t>письмова контрольна робота, виконання та захист презентацій</w:t>
            </w:r>
            <w:r w:rsidRPr="008B705D">
              <w:rPr>
                <w:sz w:val="24"/>
                <w:szCs w:val="24"/>
                <w:lang w:val="uk-UA"/>
              </w:rPr>
              <w:t>.</w:t>
            </w:r>
          </w:p>
          <w:p w14:paraId="7F3734AE" w14:textId="77777777" w:rsidR="002869D7" w:rsidRPr="001E1F3C" w:rsidRDefault="002869D7" w:rsidP="007676FF">
            <w:pPr>
              <w:pStyle w:val="a3"/>
              <w:ind w:left="0" w:firstLine="720"/>
              <w:jc w:val="both"/>
              <w:rPr>
                <w:iCs/>
                <w:sz w:val="24"/>
                <w:szCs w:val="24"/>
                <w:lang w:val="uk-UA"/>
              </w:rPr>
            </w:pPr>
            <w:r w:rsidRPr="008B705D">
              <w:rPr>
                <w:iCs/>
                <w:sz w:val="24"/>
                <w:szCs w:val="24"/>
                <w:lang w:val="uk-UA"/>
              </w:rPr>
              <w:t>Більш детальна інформація щодо оцінювання  та накопичування балів з навчальної дисципліни наведена у робочому плані (технологічній карті) з навчальної дисципліни.</w:t>
            </w:r>
          </w:p>
        </w:tc>
      </w:tr>
      <w:tr w:rsidR="002869D7" w:rsidRPr="00552BEB" w14:paraId="45DBA892" w14:textId="77777777" w:rsidTr="007676FF">
        <w:trPr>
          <w:trHeight w:val="247"/>
        </w:trPr>
        <w:tc>
          <w:tcPr>
            <w:tcW w:w="9781" w:type="dxa"/>
            <w:gridSpan w:val="3"/>
          </w:tcPr>
          <w:p w14:paraId="3685DC1E" w14:textId="77777777" w:rsidR="002869D7" w:rsidRDefault="002869D7" w:rsidP="00767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Політики навчальної дисципліни</w:t>
            </w:r>
          </w:p>
          <w:p w14:paraId="485A28CA" w14:textId="77777777" w:rsidR="002869D7" w:rsidRPr="00023567" w:rsidRDefault="002869D7" w:rsidP="007676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368C">
              <w:rPr>
                <w:rFonts w:ascii="Times New Roman" w:hAnsi="Times New Roman" w:cs="Times New Roman"/>
                <w:iCs/>
                <w:sz w:val="24"/>
                <w:szCs w:val="24"/>
              </w:rPr>
              <w:t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</w:t>
            </w:r>
            <w:r w:rsidRPr="0002356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2869D7" w:rsidRPr="00552BEB" w14:paraId="5BDEE806" w14:textId="77777777" w:rsidTr="007676FF">
        <w:trPr>
          <w:trHeight w:val="814"/>
        </w:trPr>
        <w:tc>
          <w:tcPr>
            <w:tcW w:w="9781" w:type="dxa"/>
            <w:gridSpan w:val="3"/>
          </w:tcPr>
          <w:p w14:paraId="16DEC50E" w14:textId="459EFC68" w:rsidR="002869D7" w:rsidRDefault="002869D7" w:rsidP="007676FF">
            <w:pPr>
              <w:ind w:firstLine="25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7F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Більш детальну інформацію щодо компетентностей, результатів навчання, методів навчання, форм оцінювання, самостійної роботи наведено у Робочій програмі навчальної дисципліни </w:t>
            </w:r>
          </w:p>
          <w:p w14:paraId="0974AB5E" w14:textId="27FB7599" w:rsidR="002869D7" w:rsidRPr="00FF314B" w:rsidRDefault="00FF314B" w:rsidP="00FF314B">
            <w:pPr>
              <w:ind w:firstLine="25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314B">
              <w:rPr>
                <w:rFonts w:ascii="Times New Roman" w:hAnsi="Times New Roman" w:cs="Times New Roman"/>
                <w:i/>
                <w:sz w:val="24"/>
                <w:szCs w:val="24"/>
              </w:rPr>
              <w:t>https://pns.hneu.edu.ua/course/view.php?id=4862</w:t>
            </w:r>
          </w:p>
        </w:tc>
      </w:tr>
    </w:tbl>
    <w:p w14:paraId="117814D6" w14:textId="77777777" w:rsidR="00FD0D1A" w:rsidRDefault="00FD0D1A" w:rsidP="00FD0D1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6C40360" w14:textId="0AF3CA27" w:rsidR="00D95F67" w:rsidRPr="00552BEB" w:rsidRDefault="00D95F67" w:rsidP="00D95F67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F314B">
        <w:rPr>
          <w:rFonts w:ascii="Times New Roman" w:hAnsi="Times New Roman" w:cs="Times New Roman"/>
          <w:sz w:val="24"/>
          <w:szCs w:val="24"/>
          <w:highlight w:val="yellow"/>
        </w:rPr>
        <w:t xml:space="preserve">Силабус затверджено на засіданні кафедри </w:t>
      </w:r>
      <w:r w:rsidRPr="00FF314B">
        <w:rPr>
          <w:rFonts w:ascii="Times New Roman" w:eastAsia="Times New Roman" w:hAnsi="Times New Roman" w:cs="Times New Roman"/>
          <w:sz w:val="24"/>
          <w:szCs w:val="24"/>
          <w:highlight w:val="yellow"/>
        </w:rPr>
        <w:t>«</w:t>
      </w:r>
      <w:r w:rsidR="00FF314B" w:rsidRPr="00FF314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   </w:t>
      </w:r>
      <w:r w:rsidRPr="00FF314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» </w:t>
      </w:r>
      <w:r w:rsidR="00FF314B" w:rsidRPr="00FF314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                   </w:t>
      </w:r>
      <w:r w:rsidRPr="00FF314B">
        <w:rPr>
          <w:rFonts w:ascii="Times New Roman" w:eastAsia="Times New Roman" w:hAnsi="Times New Roman" w:cs="Times New Roman"/>
          <w:sz w:val="24"/>
          <w:szCs w:val="24"/>
          <w:highlight w:val="yellow"/>
        </w:rPr>
        <w:t>202</w:t>
      </w:r>
      <w:r w:rsidR="00FF314B" w:rsidRPr="00FF314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</w:t>
      </w:r>
      <w:r w:rsidRPr="00FF314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р. Протокол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C2451A" w14:textId="77777777" w:rsidR="00903FEC" w:rsidRDefault="00903FEC"/>
    <w:sectPr w:rsidR="00903FEC" w:rsidSect="006A4FB8">
      <w:headerReference w:type="default" r:id="rId9"/>
      <w:pgSz w:w="11906" w:h="16838" w:code="9"/>
      <w:pgMar w:top="1134" w:right="567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CB45C" w14:textId="77777777" w:rsidR="00D318A0" w:rsidRDefault="00D318A0">
      <w:r>
        <w:separator/>
      </w:r>
    </w:p>
  </w:endnote>
  <w:endnote w:type="continuationSeparator" w:id="0">
    <w:p w14:paraId="3935840A" w14:textId="77777777" w:rsidR="00D318A0" w:rsidRDefault="00D3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A4754" w14:textId="77777777" w:rsidR="00D318A0" w:rsidRDefault="00D318A0">
      <w:r>
        <w:separator/>
      </w:r>
    </w:p>
  </w:footnote>
  <w:footnote w:type="continuationSeparator" w:id="0">
    <w:p w14:paraId="34E155D2" w14:textId="77777777" w:rsidR="00D318A0" w:rsidRDefault="00D31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F9CC8" w14:textId="77777777" w:rsidR="006C14BC" w:rsidRDefault="00932266" w:rsidP="006A2638">
    <w:pPr>
      <w:ind w:firstLine="1134"/>
      <w:rPr>
        <w:rFonts w:ascii="Times New Roman" w:hAnsi="Times New Roman" w:cs="Times New Roman"/>
        <w:i/>
        <w:sz w:val="24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F10936C" wp14:editId="79F45FF6">
          <wp:simplePos x="0" y="0"/>
          <wp:positionH relativeFrom="margin">
            <wp:posOffset>-161925</wp:posOffset>
          </wp:positionH>
          <wp:positionV relativeFrom="paragraph">
            <wp:posOffset>-132715</wp:posOffset>
          </wp:positionV>
          <wp:extent cx="706120" cy="697865"/>
          <wp:effectExtent l="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12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97EA34A" w14:textId="77777777" w:rsidR="006C14BC" w:rsidRDefault="00932266" w:rsidP="006A2638">
    <w:pPr>
      <w:ind w:firstLine="1134"/>
    </w:pPr>
    <w:r w:rsidRPr="0084026D">
      <w:rPr>
        <w:rFonts w:ascii="Times New Roman" w:hAnsi="Times New Roman" w:cs="Times New Roman"/>
        <w:i/>
        <w:sz w:val="24"/>
        <w:szCs w:val="28"/>
      </w:rPr>
      <w:t>Харківський національний економічний університет імені Семена Кузнеця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8B8"/>
    <w:rsid w:val="00061287"/>
    <w:rsid w:val="001438D9"/>
    <w:rsid w:val="001D10DC"/>
    <w:rsid w:val="001D7283"/>
    <w:rsid w:val="00276FA5"/>
    <w:rsid w:val="002869D7"/>
    <w:rsid w:val="00296CC1"/>
    <w:rsid w:val="002A44FD"/>
    <w:rsid w:val="002A7F08"/>
    <w:rsid w:val="0030411A"/>
    <w:rsid w:val="003218B8"/>
    <w:rsid w:val="003C3431"/>
    <w:rsid w:val="003D0D86"/>
    <w:rsid w:val="003D4CBA"/>
    <w:rsid w:val="003E4163"/>
    <w:rsid w:val="00416CCC"/>
    <w:rsid w:val="005C0CDA"/>
    <w:rsid w:val="005C48C2"/>
    <w:rsid w:val="005F31F8"/>
    <w:rsid w:val="006625A8"/>
    <w:rsid w:val="00686226"/>
    <w:rsid w:val="00687131"/>
    <w:rsid w:val="006D49B7"/>
    <w:rsid w:val="007A25AB"/>
    <w:rsid w:val="008935ED"/>
    <w:rsid w:val="00895DE5"/>
    <w:rsid w:val="008B388E"/>
    <w:rsid w:val="008D4BAB"/>
    <w:rsid w:val="008F776E"/>
    <w:rsid w:val="00903FEC"/>
    <w:rsid w:val="009153CF"/>
    <w:rsid w:val="00932266"/>
    <w:rsid w:val="009914E8"/>
    <w:rsid w:val="00A570A0"/>
    <w:rsid w:val="00A82301"/>
    <w:rsid w:val="00AB27E5"/>
    <w:rsid w:val="00B020EB"/>
    <w:rsid w:val="00B16887"/>
    <w:rsid w:val="00BF6D79"/>
    <w:rsid w:val="00C0217D"/>
    <w:rsid w:val="00C36EBC"/>
    <w:rsid w:val="00CF1F0D"/>
    <w:rsid w:val="00D1740D"/>
    <w:rsid w:val="00D318A0"/>
    <w:rsid w:val="00D95F67"/>
    <w:rsid w:val="00E63A25"/>
    <w:rsid w:val="00EF607E"/>
    <w:rsid w:val="00F7627B"/>
    <w:rsid w:val="00FD0D1A"/>
    <w:rsid w:val="00FE2486"/>
    <w:rsid w:val="00FE34F6"/>
    <w:rsid w:val="00FF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8A45F"/>
  <w15:docId w15:val="{1581C409-08F6-41F7-9D65-8EAA51C1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D1A"/>
    <w:pPr>
      <w:spacing w:after="0" w:line="240" w:lineRule="auto"/>
    </w:pPr>
    <w:rPr>
      <w:rFonts w:ascii="Calibri" w:eastAsia="Calibri" w:hAnsi="Calibri" w:cs="Arial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D1A"/>
    <w:pPr>
      <w:widowControl w:val="0"/>
      <w:autoSpaceDE w:val="0"/>
      <w:autoSpaceDN w:val="0"/>
      <w:ind w:left="962" w:hanging="360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table" w:styleId="a4">
    <w:name w:val="Table Grid"/>
    <w:basedOn w:val="a1"/>
    <w:uiPriority w:val="39"/>
    <w:rsid w:val="00FD0D1A"/>
    <w:pPr>
      <w:spacing w:after="0" w:line="240" w:lineRule="auto"/>
    </w:pPr>
    <w:rPr>
      <w:rFonts w:ascii="Calibri" w:eastAsia="Calibri" w:hAnsi="Calibri" w:cs="Arial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a5">
    <w:name w:val="Основний текст_"/>
    <w:link w:val="1"/>
    <w:rsid w:val="00FD0D1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ий текст1"/>
    <w:basedOn w:val="a"/>
    <w:link w:val="a5"/>
    <w:rsid w:val="00FD0D1A"/>
    <w:pPr>
      <w:shd w:val="clear" w:color="auto" w:fill="FFFFFF"/>
      <w:spacing w:line="322" w:lineRule="exact"/>
    </w:pPr>
    <w:rPr>
      <w:rFonts w:ascii="Times New Roman" w:eastAsia="Times New Roman" w:hAnsi="Times New Roman" w:cstheme="minorBidi"/>
      <w:sz w:val="27"/>
      <w:szCs w:val="27"/>
      <w:lang w:val="ru-RU" w:eastAsia="en-US"/>
    </w:rPr>
  </w:style>
  <w:style w:type="character" w:styleId="a6">
    <w:name w:val="Hyperlink"/>
    <w:unhideWhenUsed/>
    <w:rsid w:val="00FD0D1A"/>
    <w:rPr>
      <w:color w:val="0000FF"/>
      <w:u w:val="single"/>
    </w:rPr>
  </w:style>
  <w:style w:type="paragraph" w:customStyle="1" w:styleId="Default">
    <w:name w:val="Default"/>
    <w:rsid w:val="009153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a7">
    <w:name w:val="No Spacing"/>
    <w:uiPriority w:val="1"/>
    <w:qFormat/>
    <w:rsid w:val="001D10DC"/>
    <w:pPr>
      <w:spacing w:after="0" w:line="240" w:lineRule="auto"/>
    </w:pPr>
    <w:rPr>
      <w:rFonts w:ascii="Calibri" w:eastAsia="Calibri" w:hAnsi="Calibri" w:cs="Arial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zklad.hneu.edu.ua/schedule/schedule?employee=4269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ozklad.hneu.edu.ua/schedule/schedule?employee=4269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ustoms.hneu.edu.u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494</Words>
  <Characters>3786</Characters>
  <Application>Microsoft Office Word</Application>
  <DocSecurity>0</DocSecurity>
  <Lines>105</Lines>
  <Paragraphs>72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RAKETA</dc:creator>
  <cp:lastModifiedBy>Viktoriia</cp:lastModifiedBy>
  <cp:revision>7</cp:revision>
  <dcterms:created xsi:type="dcterms:W3CDTF">2023-09-03T11:52:00Z</dcterms:created>
  <dcterms:modified xsi:type="dcterms:W3CDTF">2025-09-03T05:48:00Z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bddff19f-7003-4ffe-a02f-024de2445040</vt:lpwstr>
  </property>
</Properties>
</file>