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0F" w:rsidRDefault="00E17B0F" w:rsidP="00E17B0F"/>
    <w:p w:rsidR="00E17B0F" w:rsidRDefault="00E17B0F" w:rsidP="005B46F7">
      <w:pPr>
        <w:pStyle w:val="a3"/>
        <w:numPr>
          <w:ilvl w:val="0"/>
          <w:numId w:val="1"/>
        </w:numPr>
      </w:pPr>
      <w:r>
        <w:t>Introduction to Customs Risks and European Trade.</w:t>
      </w:r>
    </w:p>
    <w:p w:rsidR="00E17B0F" w:rsidRDefault="00E17B0F" w:rsidP="00E17B0F">
      <w:pPr>
        <w:pStyle w:val="a3"/>
        <w:numPr>
          <w:ilvl w:val="0"/>
          <w:numId w:val="1"/>
        </w:numPr>
      </w:pPr>
      <w:r>
        <w:t>Customs Procedures and Regulations in the European Union.</w:t>
      </w:r>
    </w:p>
    <w:p w:rsidR="00E17B0F" w:rsidRDefault="00E17B0F" w:rsidP="006134B5">
      <w:pPr>
        <w:pStyle w:val="a3"/>
        <w:numPr>
          <w:ilvl w:val="0"/>
          <w:numId w:val="1"/>
        </w:numPr>
      </w:pPr>
      <w:r>
        <w:t>Tariff Classification and Its Role in Managing Customs Risks.</w:t>
      </w:r>
    </w:p>
    <w:p w:rsidR="00E17B0F" w:rsidRDefault="00E17B0F" w:rsidP="007452F0">
      <w:pPr>
        <w:pStyle w:val="a3"/>
        <w:numPr>
          <w:ilvl w:val="0"/>
          <w:numId w:val="1"/>
        </w:numPr>
      </w:pPr>
      <w:r>
        <w:t>Valuation of Goods for Customs Purposes in Europe.</w:t>
      </w:r>
    </w:p>
    <w:p w:rsidR="00E17B0F" w:rsidRDefault="00E17B0F" w:rsidP="004831AD">
      <w:pPr>
        <w:pStyle w:val="a3"/>
        <w:numPr>
          <w:ilvl w:val="0"/>
          <w:numId w:val="1"/>
        </w:numPr>
      </w:pPr>
      <w:r>
        <w:t>Rules of Origin and Their Impact on Customs Risks.</w:t>
      </w:r>
    </w:p>
    <w:p w:rsidR="00E17B0F" w:rsidRDefault="00E17B0F" w:rsidP="00BA4702">
      <w:pPr>
        <w:pStyle w:val="a3"/>
        <w:numPr>
          <w:ilvl w:val="0"/>
          <w:numId w:val="1"/>
        </w:numPr>
      </w:pPr>
      <w:r>
        <w:t>Customs Compliance and Audit Procedures in the EU.</w:t>
      </w:r>
    </w:p>
    <w:p w:rsidR="00E17B0F" w:rsidRDefault="00E17B0F" w:rsidP="006F0A6A">
      <w:pPr>
        <w:pStyle w:val="a3"/>
        <w:numPr>
          <w:ilvl w:val="0"/>
          <w:numId w:val="1"/>
        </w:numPr>
      </w:pPr>
      <w:r>
        <w:t>Risk Assessment in European Customs Management.</w:t>
      </w:r>
    </w:p>
    <w:p w:rsidR="00E17B0F" w:rsidRDefault="00E17B0F" w:rsidP="00FE050B">
      <w:pPr>
        <w:pStyle w:val="a3"/>
        <w:numPr>
          <w:ilvl w:val="0"/>
          <w:numId w:val="1"/>
        </w:numPr>
      </w:pPr>
      <w:r>
        <w:t>Intellectual Property Rights Protection at European Borders.</w:t>
      </w:r>
    </w:p>
    <w:p w:rsidR="00E17B0F" w:rsidRDefault="00E17B0F" w:rsidP="00AB3B2F">
      <w:pPr>
        <w:pStyle w:val="a3"/>
        <w:numPr>
          <w:ilvl w:val="0"/>
          <w:numId w:val="1"/>
        </w:numPr>
      </w:pPr>
      <w:r>
        <w:t>Supply Chain Security and Customs Risks Mitigation.</w:t>
      </w:r>
    </w:p>
    <w:p w:rsidR="00E17B0F" w:rsidRDefault="00E17B0F" w:rsidP="002E3944">
      <w:pPr>
        <w:pStyle w:val="a3"/>
        <w:numPr>
          <w:ilvl w:val="0"/>
          <w:numId w:val="1"/>
        </w:numPr>
      </w:pPr>
      <w:r>
        <w:t>Customs Risks in Cross-Border E-Commerce in Europe.</w:t>
      </w:r>
    </w:p>
    <w:p w:rsidR="00E17B0F" w:rsidRDefault="00E17B0F" w:rsidP="00D23CD8">
      <w:pPr>
        <w:pStyle w:val="a3"/>
        <w:numPr>
          <w:ilvl w:val="0"/>
          <w:numId w:val="1"/>
        </w:numPr>
      </w:pPr>
      <w:r>
        <w:t>Anti-Dumping and Countervailing Duties in European Trade.</w:t>
      </w:r>
    </w:p>
    <w:p w:rsidR="00E17B0F" w:rsidRDefault="00E17B0F" w:rsidP="00CC3C14">
      <w:pPr>
        <w:pStyle w:val="a3"/>
        <w:numPr>
          <w:ilvl w:val="0"/>
          <w:numId w:val="1"/>
        </w:numPr>
      </w:pPr>
      <w:r>
        <w:t xml:space="preserve">Customs Risks Related to Export Controls in </w:t>
      </w:r>
      <w:proofErr w:type="spellStart"/>
      <w:r>
        <w:t>Europe.</w:t>
      </w:r>
      <w:proofErr w:type="spellEnd"/>
    </w:p>
    <w:p w:rsidR="00E17B0F" w:rsidRDefault="00E17B0F" w:rsidP="001D0244">
      <w:pPr>
        <w:pStyle w:val="a3"/>
        <w:numPr>
          <w:ilvl w:val="0"/>
          <w:numId w:val="1"/>
        </w:numPr>
      </w:pPr>
      <w:r>
        <w:t>Post-</w:t>
      </w:r>
      <w:proofErr w:type="spellStart"/>
      <w:r>
        <w:t>Brexit</w:t>
      </w:r>
      <w:proofErr w:type="spellEnd"/>
      <w:r>
        <w:t xml:space="preserve"> Customs Risks and Trade with the UK.</w:t>
      </w:r>
    </w:p>
    <w:p w:rsidR="00E17B0F" w:rsidRDefault="00E17B0F" w:rsidP="0096659F">
      <w:pPr>
        <w:pStyle w:val="a3"/>
        <w:numPr>
          <w:ilvl w:val="0"/>
          <w:numId w:val="1"/>
        </w:numPr>
      </w:pPr>
      <w:r>
        <w:t>Handling Non-Tariff Barriers in European Trade.</w:t>
      </w:r>
    </w:p>
    <w:p w:rsidR="00E17B0F" w:rsidRDefault="00E17B0F" w:rsidP="00640F29">
      <w:pPr>
        <w:pStyle w:val="a3"/>
        <w:numPr>
          <w:ilvl w:val="0"/>
          <w:numId w:val="1"/>
        </w:numPr>
      </w:pPr>
      <w:r>
        <w:t>European Free Trade Agreements and Customs Risks.</w:t>
      </w:r>
    </w:p>
    <w:p w:rsidR="00E17B0F" w:rsidRDefault="00E17B0F" w:rsidP="00910D90">
      <w:pPr>
        <w:pStyle w:val="a3"/>
        <w:numPr>
          <w:ilvl w:val="0"/>
          <w:numId w:val="1"/>
        </w:numPr>
      </w:pPr>
      <w:r>
        <w:t>Role of Customs Brokers and Agents in Risk Management.</w:t>
      </w:r>
    </w:p>
    <w:p w:rsidR="00E17B0F" w:rsidRDefault="00E17B0F" w:rsidP="00293885">
      <w:pPr>
        <w:pStyle w:val="a3"/>
        <w:numPr>
          <w:ilvl w:val="0"/>
          <w:numId w:val="1"/>
        </w:numPr>
      </w:pPr>
      <w:r>
        <w:t>European Customs Union and Its Impact on Trade.</w:t>
      </w:r>
    </w:p>
    <w:p w:rsidR="00E17B0F" w:rsidRDefault="00E17B0F" w:rsidP="00860ACE">
      <w:pPr>
        <w:pStyle w:val="a3"/>
        <w:numPr>
          <w:ilvl w:val="0"/>
          <w:numId w:val="1"/>
        </w:numPr>
      </w:pPr>
      <w:r>
        <w:t>Strategies for Mitigating Currency Exchange Rate Risks in EU Trade.</w:t>
      </w:r>
    </w:p>
    <w:p w:rsidR="00E17B0F" w:rsidRDefault="00E17B0F" w:rsidP="002C1378">
      <w:pPr>
        <w:pStyle w:val="a3"/>
        <w:numPr>
          <w:ilvl w:val="0"/>
          <w:numId w:val="1"/>
        </w:numPr>
      </w:pPr>
      <w:r>
        <w:t>Emerging Technologies in Customs Risk Management in Europe.</w:t>
      </w:r>
    </w:p>
    <w:p w:rsidR="002D519B" w:rsidRDefault="00E17B0F" w:rsidP="002C1378">
      <w:pPr>
        <w:pStyle w:val="a3"/>
        <w:numPr>
          <w:ilvl w:val="0"/>
          <w:numId w:val="1"/>
        </w:numPr>
      </w:pPr>
      <w:bookmarkStart w:id="0" w:name="_GoBack"/>
      <w:bookmarkEnd w:id="0"/>
      <w:r>
        <w:t>Case Studies of Notable Customs Risk Incidents in the EU.</w:t>
      </w:r>
    </w:p>
    <w:sectPr w:rsidR="002D519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01172"/>
    <w:multiLevelType w:val="hybridMultilevel"/>
    <w:tmpl w:val="59907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B97"/>
    <w:rsid w:val="002D519B"/>
    <w:rsid w:val="00E17B0F"/>
    <w:rsid w:val="00F6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5C0C4"/>
  <w15:chartTrackingRefBased/>
  <w15:docId w15:val="{7EF55FD2-9CA2-4AAC-8102-4D5B7BF2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Горлов</dc:creator>
  <cp:keywords/>
  <dc:description/>
  <cp:lastModifiedBy>Дмитрий Горлов</cp:lastModifiedBy>
  <cp:revision>2</cp:revision>
  <dcterms:created xsi:type="dcterms:W3CDTF">2023-09-12T14:16:00Z</dcterms:created>
  <dcterms:modified xsi:type="dcterms:W3CDTF">2023-09-12T14:16:00Z</dcterms:modified>
</cp:coreProperties>
</file>