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E92" w:rsidRPr="00560833" w:rsidRDefault="00964E92" w:rsidP="00560833">
      <w:pPr>
        <w:spacing w:after="0" w:line="360" w:lineRule="auto"/>
        <w:ind w:firstLine="709"/>
        <w:jc w:val="both"/>
        <w:rPr>
          <w:rFonts w:ascii="Times New Roman" w:hAnsi="Times New Roman" w:cs="Times New Roman"/>
          <w:b/>
          <w:sz w:val="28"/>
          <w:szCs w:val="28"/>
          <w:lang w:val="uk-UA"/>
        </w:rPr>
      </w:pPr>
      <w:bookmarkStart w:id="0" w:name="_GoBack"/>
      <w:bookmarkEnd w:id="0"/>
      <w:r w:rsidRPr="00560833">
        <w:rPr>
          <w:rFonts w:ascii="Times New Roman" w:hAnsi="Times New Roman" w:cs="Times New Roman"/>
          <w:b/>
          <w:sz w:val="28"/>
          <w:szCs w:val="28"/>
          <w:lang w:val="uk-UA"/>
        </w:rPr>
        <w:t>Тема 8. Інструментарій аналізу трудової мобільності в умовах регіо</w:t>
      </w:r>
      <w:r w:rsidRPr="00560833">
        <w:rPr>
          <w:rFonts w:ascii="Times New Roman" w:hAnsi="Times New Roman" w:cs="Times New Roman"/>
          <w:b/>
          <w:sz w:val="28"/>
          <w:szCs w:val="28"/>
          <w:lang w:val="uk-UA"/>
        </w:rPr>
        <w:t>нальної економічної інтеграції.</w:t>
      </w:r>
    </w:p>
    <w:p w:rsidR="00964E92" w:rsidRPr="00560833" w:rsidRDefault="00964E92" w:rsidP="00560833">
      <w:pPr>
        <w:spacing w:after="0" w:line="360" w:lineRule="auto"/>
        <w:ind w:firstLine="709"/>
        <w:jc w:val="both"/>
        <w:rPr>
          <w:rFonts w:ascii="Times New Roman" w:hAnsi="Times New Roman" w:cs="Times New Roman"/>
          <w:b/>
          <w:sz w:val="28"/>
          <w:szCs w:val="28"/>
          <w:lang w:val="uk-UA"/>
        </w:rPr>
      </w:pPr>
    </w:p>
    <w:p w:rsidR="00442852" w:rsidRPr="00560833" w:rsidRDefault="00964E92" w:rsidP="00560833">
      <w:pPr>
        <w:spacing w:after="0" w:line="360" w:lineRule="auto"/>
        <w:ind w:firstLine="709"/>
        <w:jc w:val="both"/>
        <w:rPr>
          <w:rFonts w:ascii="Times New Roman" w:hAnsi="Times New Roman" w:cs="Times New Roman"/>
          <w:b/>
          <w:sz w:val="28"/>
          <w:szCs w:val="28"/>
          <w:lang w:val="uk-UA"/>
        </w:rPr>
      </w:pPr>
      <w:r w:rsidRPr="00560833">
        <w:rPr>
          <w:rFonts w:ascii="Times New Roman" w:hAnsi="Times New Roman" w:cs="Times New Roman"/>
          <w:b/>
          <w:sz w:val="28"/>
          <w:szCs w:val="28"/>
          <w:lang w:val="uk-UA"/>
        </w:rPr>
        <w:t>8.1. Умови та фактори формування міграційної привабливості країн в умовах регіональної економічної інтеграції</w:t>
      </w:r>
    </w:p>
    <w:p w:rsidR="00964E92" w:rsidRPr="00560833" w:rsidRDefault="00964E92" w:rsidP="00560833">
      <w:pPr>
        <w:spacing w:after="0" w:line="360" w:lineRule="auto"/>
        <w:ind w:firstLine="709"/>
        <w:jc w:val="both"/>
        <w:rPr>
          <w:rFonts w:ascii="Times New Roman" w:hAnsi="Times New Roman" w:cs="Times New Roman"/>
          <w:sz w:val="28"/>
          <w:szCs w:val="28"/>
          <w:lang w:val="uk-UA"/>
        </w:rPr>
      </w:pP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Поряд з природним рухом на демографічні параметри населення впливає територіальна мобільність, або механічний рух населення. Останній пов’язаний з міграційними процесами. Міграція у перекладі з латинської (migratio, migro) означає переміщення, переселення. Переважно під міграцією розуміють такі територіальні переміщення населення, які супроводжуються зміною місця прожи</w:t>
      </w:r>
      <w:r w:rsidRPr="00560833">
        <w:rPr>
          <w:color w:val="402A18"/>
          <w:sz w:val="28"/>
          <w:szCs w:val="28"/>
          <w:lang w:val="uk-UA"/>
        </w:rPr>
        <w:softHyphen/>
        <w:t>вання та місця праці (назавжди або на досить тривалий строк) як у межах однієї країни, так і поза її межами. У демографічних та де</w:t>
      </w:r>
      <w:r w:rsidRPr="00560833">
        <w:rPr>
          <w:color w:val="402A18"/>
          <w:sz w:val="28"/>
          <w:szCs w:val="28"/>
          <w:lang w:val="uk-UA"/>
        </w:rPr>
        <w:softHyphen/>
        <w:t>моекономічних дослідженнях термін «міграція» вживається щодо таких актів переміщень у просторі, які пов’язані, по-перше, з пере</w:t>
      </w:r>
      <w:r w:rsidRPr="00560833">
        <w:rPr>
          <w:color w:val="402A18"/>
          <w:sz w:val="28"/>
          <w:szCs w:val="28"/>
          <w:lang w:val="uk-UA"/>
        </w:rPr>
        <w:softHyphen/>
        <w:t>тином адміністративних меж населених пунктів, по-друге, із зміною індивідом місця проживання назавжди чи на певний строк</w:t>
      </w:r>
      <w:bookmarkStart w:id="1" w:name="_ftnref1"/>
      <w:r w:rsidRPr="00560833">
        <w:rPr>
          <w:color w:val="402A18"/>
          <w:sz w:val="28"/>
          <w:szCs w:val="28"/>
          <w:lang w:val="uk-UA"/>
        </w:rPr>
        <w:fldChar w:fldCharType="begin"/>
      </w:r>
      <w:r w:rsidRPr="00560833">
        <w:rPr>
          <w:color w:val="402A18"/>
          <w:sz w:val="28"/>
          <w:szCs w:val="28"/>
          <w:lang w:val="uk-UA"/>
        </w:rPr>
        <w:instrText xml:space="preserve"> HYPERLINK "https://buklib.net/books/27309/" \l "_ftn1" \o "_ftnref1" </w:instrText>
      </w:r>
      <w:r w:rsidRPr="00560833">
        <w:rPr>
          <w:color w:val="402A18"/>
          <w:sz w:val="28"/>
          <w:szCs w:val="28"/>
          <w:lang w:val="uk-UA"/>
        </w:rPr>
        <w:fldChar w:fldCharType="separate"/>
      </w:r>
      <w:r w:rsidRPr="00560833">
        <w:rPr>
          <w:rStyle w:val="a3"/>
          <w:color w:val="402A18"/>
          <w:sz w:val="28"/>
          <w:szCs w:val="28"/>
          <w:u w:val="none"/>
          <w:lang w:val="uk-UA"/>
        </w:rPr>
        <w:t>1.</w:t>
      </w:r>
      <w:r w:rsidRPr="00560833">
        <w:rPr>
          <w:color w:val="402A18"/>
          <w:sz w:val="28"/>
          <w:szCs w:val="28"/>
          <w:lang w:val="uk-UA"/>
        </w:rPr>
        <w:fldChar w:fldCharType="end"/>
      </w:r>
      <w:bookmarkEnd w:id="1"/>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Соціально-економічна суть міграції населення полягає у забезпеченні кількісної та якісної відповідності між потребою у робочій силі та наявністю її у різних регіонах держави, а також у реалізації прагнень працівників задовольнити особисті потреби соціального, професійно-кваліфікаційного та духовного характеру.</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У науковій літературі існує різноманітна класифікація чинників (часто взаємозалежних), під впливом яких формуються напрямки та масштаби міграційних процесів. Переміщення у просторі відбувається внаслідок дії економічних, соціальних, демог</w:t>
      </w:r>
      <w:r w:rsidRPr="00560833">
        <w:rPr>
          <w:color w:val="402A18"/>
          <w:sz w:val="28"/>
          <w:szCs w:val="28"/>
          <w:lang w:val="uk-UA"/>
        </w:rPr>
        <w:softHyphen/>
        <w:t>рафічних, політичних, етнічних, освітніх, морально-психологіч</w:t>
      </w:r>
      <w:r w:rsidRPr="00560833">
        <w:rPr>
          <w:color w:val="402A18"/>
          <w:sz w:val="28"/>
          <w:szCs w:val="28"/>
          <w:lang w:val="uk-UA"/>
        </w:rPr>
        <w:softHyphen/>
        <w:t>них, військових, екологічних та інших факторів, але ці чинники діють одночасно, вони певною мірою взаємозалежні, тож виявити окремі компоненти міграційного процесу, сформовані під впли</w:t>
      </w:r>
      <w:r w:rsidRPr="00560833">
        <w:rPr>
          <w:color w:val="402A18"/>
          <w:sz w:val="28"/>
          <w:szCs w:val="28"/>
          <w:lang w:val="uk-UA"/>
        </w:rPr>
        <w:softHyphen/>
        <w:t>вом одного чи двох факторів, як правило, складно.</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lastRenderedPageBreak/>
        <w:t>Будь-який міграційний акт відбувається під дією комплексу мотивів. Вони залежать від суб’єктивних та об’єктивних причин: з одного боку, міграції відбуваються за особистим бажанням — кожен громадянин має право і можливість вибирати для себе місце проживання та праці, тобто задовольнити свої різноманітні потреби матеріального, професійно-кваліфікаційного і духовного характеру.</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Поділяють також фактори міграції на некеровані і керовані суспільством, іншими словами — умови (природні умови різних ре</w:t>
      </w:r>
      <w:r w:rsidRPr="00560833">
        <w:rPr>
          <w:color w:val="402A18"/>
          <w:sz w:val="28"/>
          <w:szCs w:val="28"/>
          <w:lang w:val="uk-UA"/>
        </w:rPr>
        <w:softHyphen/>
        <w:t>гіонів і поселень, ступінь їх розвитку, обжитості і благоустрою, географічне положення) і фактори-регулятори (демографічні — інтенсивність природного зростання населення, його склад за віком і статтю, співвідношення корінного населення та приїжджого, старо</w:t>
      </w:r>
      <w:r w:rsidRPr="00560833">
        <w:rPr>
          <w:color w:val="402A18"/>
          <w:sz w:val="28"/>
          <w:szCs w:val="28"/>
          <w:lang w:val="uk-UA"/>
        </w:rPr>
        <w:softHyphen/>
        <w:t>жилів і новоселів, етнічні відмінності між групами в мові, духовній культурі, побуті, національних обрядах, звичаях тощо; соціально-психологічні — інтенсивність соціального спілкування людей, со</w:t>
      </w:r>
      <w:r w:rsidRPr="00560833">
        <w:rPr>
          <w:color w:val="402A18"/>
          <w:sz w:val="28"/>
          <w:szCs w:val="28"/>
          <w:lang w:val="uk-UA"/>
        </w:rPr>
        <w:softHyphen/>
        <w:t>ціально-психологічний клімат, соціальні умови життя людей).</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Виділяють також чинники міграції за сферою їх прояву: народногосподарські, територіальні, галузеві та внутрівиробничі, а також постійні, тимчасові і змінні залежно від їх використання в регулюванні міграційних процесів. Міграція значною мірою впли</w:t>
      </w:r>
      <w:r w:rsidRPr="00560833">
        <w:rPr>
          <w:color w:val="402A18"/>
          <w:sz w:val="28"/>
          <w:szCs w:val="28"/>
          <w:lang w:val="uk-UA"/>
        </w:rPr>
        <w:softHyphen/>
        <w:t>ває на формування, функціонування й розвиток ринку праці. Мігра</w:t>
      </w:r>
      <w:r w:rsidRPr="00560833">
        <w:rPr>
          <w:color w:val="402A18"/>
          <w:sz w:val="28"/>
          <w:szCs w:val="28"/>
          <w:lang w:val="uk-UA"/>
        </w:rPr>
        <w:softHyphen/>
        <w:t>ція як чинник розвитку ринку виконує прискорювальну, розподіль</w:t>
      </w:r>
      <w:r w:rsidRPr="00560833">
        <w:rPr>
          <w:color w:val="402A18"/>
          <w:sz w:val="28"/>
          <w:szCs w:val="28"/>
          <w:lang w:val="uk-UA"/>
        </w:rPr>
        <w:softHyphen/>
        <w:t>чу та селективну функції</w:t>
      </w:r>
      <w:bookmarkStart w:id="2" w:name="_ftnref2"/>
      <w:r w:rsidRPr="00560833">
        <w:rPr>
          <w:color w:val="402A18"/>
          <w:sz w:val="28"/>
          <w:szCs w:val="28"/>
          <w:lang w:val="uk-UA"/>
        </w:rPr>
        <w:fldChar w:fldCharType="begin"/>
      </w:r>
      <w:r w:rsidRPr="00560833">
        <w:rPr>
          <w:color w:val="402A18"/>
          <w:sz w:val="28"/>
          <w:szCs w:val="28"/>
          <w:lang w:val="uk-UA"/>
        </w:rPr>
        <w:instrText xml:space="preserve"> HYPERLINK "https://buklib.net/books/27309/" \l "_ftn2" \o "_ftnref2" </w:instrText>
      </w:r>
      <w:r w:rsidRPr="00560833">
        <w:rPr>
          <w:color w:val="402A18"/>
          <w:sz w:val="28"/>
          <w:szCs w:val="28"/>
          <w:lang w:val="uk-UA"/>
        </w:rPr>
        <w:fldChar w:fldCharType="separate"/>
      </w:r>
      <w:r w:rsidRPr="00560833">
        <w:rPr>
          <w:rStyle w:val="a3"/>
          <w:color w:val="402A18"/>
          <w:sz w:val="28"/>
          <w:szCs w:val="28"/>
          <w:u w:val="none"/>
          <w:lang w:val="uk-UA"/>
        </w:rPr>
        <w:t>1.</w:t>
      </w:r>
      <w:r w:rsidRPr="00560833">
        <w:rPr>
          <w:color w:val="402A18"/>
          <w:sz w:val="28"/>
          <w:szCs w:val="28"/>
          <w:lang w:val="uk-UA"/>
        </w:rPr>
        <w:fldChar w:fldCharType="end"/>
      </w:r>
      <w:bookmarkEnd w:id="2"/>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Забезпечення певного рівня географічної мобільності робочої сили, змінність складу трудоактивного населення регіону та збіль</w:t>
      </w:r>
      <w:r w:rsidRPr="00560833">
        <w:rPr>
          <w:color w:val="402A18"/>
          <w:sz w:val="28"/>
          <w:szCs w:val="28"/>
          <w:lang w:val="uk-UA"/>
        </w:rPr>
        <w:softHyphen/>
        <w:t>шення місць проживання індивіда протягом життя є результатами здійснення прискорювальної функції. Розподільча функція міграції виявляється у перерозподілі населення між регіонами за рахунок чого досягається більша відповідність між попитом на робочу силу та її пропозицією. Селективна функція міграції полягає у зміні якісного складу населення і робочої сили регіонів унаслідок нерівномірної участі у міграційних процесах представників різних соціально-демографічних груп.</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lastRenderedPageBreak/>
        <w:t>У науковій літературі існують різноманітні підходи до виділення типів міграцій.</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Класифікуючи міграції стосовно до будь-якої країни, виділяють зовнішню (міждержавну) і внутрішню. До зовнішньої міграції відносять такий рух населення через державні кордони, який пов’язаний зі зміною місця проживання.</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Зовнішня міграція за територіальним охопленням включає міжконтинентальні та внутріконтинентальні переміщення. Зовнішня (міждержавна) міграція існує в різних формах: трудовій, сімейній, рекреаційній, туристичній та ін. Міждержавна міграція робочої сили в другій половині ХХ ст. стала важливою частиною процесу інтернаціоналізації міжнародного господарського життя. Трудовий потенціал, будучи важливим фактором виробництва, шукає свого найефективнішого використання не лише в рамках національного господарства, а й у масштабах світової економіки. Зовнішня міграція має два боки: еміграція — виїзд працездатного населення з країни перебування для довгострокового чи постійного проживання в іншу країну та імміграція — в’їзд робочої сили в дану країну з-за кордону (на постійне або тривале проживання для навчання, працевлаштування або з метою втечі від дискримінації, переслідувань тощо).</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Внутрішня міграція — це переміщення населення в межах однієї країни.</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Розрізняють міграції сільського та міського населення, міжміські міграції та міграції у межах сільської місцевості. Розрізняють також і міграції в межах окремих великих територіальних одиниць — області, економічного району, автономної республіки. У цих випадках міграції поділяють на внутріобласні та міжобласні, внутрірайонні та міжрайонні.</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За тривалістю міграції поділяються на постійні (безповоротні) та тимчасові (зворотні).</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 xml:space="preserve">Постійна (безповоротна) міграція — це переміщення населення, що супроводжується зміною постійного місця проживання. Масштаби </w:t>
      </w:r>
      <w:r w:rsidRPr="00560833">
        <w:rPr>
          <w:color w:val="402A18"/>
          <w:sz w:val="28"/>
          <w:szCs w:val="28"/>
          <w:lang w:val="uk-UA"/>
        </w:rPr>
        <w:lastRenderedPageBreak/>
        <w:t>зазначених переміщень, структура населення, яке в них задіяне, обумовлюють зміну кількісних і якісних характеристик населення конкретного населеного пункту, збільшують чи зменшують його трудовий потенціал. Прикладом постійної міграції є переселення сільських жителів до міст, а тимчасової (зворотної) — навчання, робота на іншій території за контрактом тощо.</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Тимчасові міграції поділяються на маятникові, циклічні, епізодичні.</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Маятникова міграція — це щоденні або щотижневі поїздки населення від місць проживання до місць роботи або навчання, що розташовані в різних населених пунктах. У маятникових міг</w:t>
      </w:r>
      <w:r w:rsidRPr="00560833">
        <w:rPr>
          <w:color w:val="402A18"/>
          <w:sz w:val="28"/>
          <w:szCs w:val="28"/>
          <w:lang w:val="uk-UA"/>
        </w:rPr>
        <w:softHyphen/>
        <w:t>раціях бере участь значна частина міського й сільського населення. Радіус маятникової міграції для великих міст дорівнює близько 40—70 км, для середніх — 25—30 км. Маятникова міграція задовольняє матеріальні та соціальні потреби, але приводить до надмірної втоми, бо пов’язана також з витратами вільного часу мігрантами, що скорочує можливості їх відпочинку і відновлення сил, виховання дітей, підвищення освітнього і куль</w:t>
      </w:r>
      <w:r w:rsidRPr="00560833">
        <w:rPr>
          <w:color w:val="402A18"/>
          <w:sz w:val="28"/>
          <w:szCs w:val="28"/>
          <w:lang w:val="uk-UA"/>
        </w:rPr>
        <w:softHyphen/>
        <w:t>турного рівня тощо.</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Циклічна (сезонна) міграція — це переміщення працездатного населення, пов’язане з пошуком роботи на певний час з поверненням на попереднє місце проживання (наприклад, сезонні роботи).</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Епізодична міграція являє собою ділові, культурно-побутові, рекреаційні та інші поїздки, що здійснюються нерегулярно у часі.</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Вимушена міграція — це переміщення особи, що супроводжується перетинанням державного кордону, у зв’язку з учиненням щодо неї або членів її сім’ї насилля чи переслідування в будь-якій формі або реальною можливістю піддатися насиллю чи переслідуванню, а також вимушене переміщення громадян України, іноземців чи осіб без громадянства, які проживають чи перебувають в Україні, що супроводжується перетинанням меж адміністративно-територіальних одиниць України у зв’язку з екологічними, техногенними та іншими обставинами надзвичайного характеру.</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lastRenderedPageBreak/>
        <w:t>За правовою ознакою мігрантів поділяють на легальних, напівлегальних, нелегальних. Легальні мігранти перетинають між</w:t>
      </w:r>
      <w:r w:rsidRPr="00560833">
        <w:rPr>
          <w:color w:val="402A18"/>
          <w:sz w:val="28"/>
          <w:szCs w:val="28"/>
          <w:lang w:val="uk-UA"/>
        </w:rPr>
        <w:softHyphen/>
        <w:t>народні кордони на законних підставах, тобто мають візу на в’їзд на певний термін або, перебуваючи в інших країнах, продовжили термін її дії. Напівлегальні мігранти, маючи візу, прибувають до країни на законних підставах, але через певний час з різних при</w:t>
      </w:r>
      <w:r w:rsidRPr="00560833">
        <w:rPr>
          <w:color w:val="402A18"/>
          <w:sz w:val="28"/>
          <w:szCs w:val="28"/>
          <w:lang w:val="uk-UA"/>
        </w:rPr>
        <w:softHyphen/>
        <w:t>чин відмовляються виїхати до своєї батьківщини і залишаються у країні перебування. Нелегальні мігранти покидають країни постійного проживання, перетинають кордони держав без офіційного дозволу, тобто без візи на в’їзд.</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За способом реалізації міграції поділяються на організовані та неорганізовані, індивідуальні. Перша здійснюється за допомогою й за участі державних та громадських органів, другі ж — силами й коштом самих мігрантів без матеріальної та організованої підтримки з боку будь-яких установ.</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r w:rsidRPr="00560833">
        <w:rPr>
          <w:color w:val="402A18"/>
          <w:sz w:val="28"/>
          <w:szCs w:val="28"/>
          <w:lang w:val="uk-UA"/>
        </w:rPr>
        <w:t>Для дослідження міграційних процесів велике значення має виз</w:t>
      </w:r>
      <w:r w:rsidRPr="00560833">
        <w:rPr>
          <w:color w:val="402A18"/>
          <w:sz w:val="28"/>
          <w:szCs w:val="28"/>
          <w:lang w:val="uk-UA"/>
        </w:rPr>
        <w:softHyphen/>
        <w:t>начення соціально-демографічних характеристик мігрантів, оцінка обсягів міграцій, вивчення кількісних і структурних характеристик міграційних процесів, прогнозування напрямків та інтенсивності їх розвитку. Вивчення міграційних процесів ґрунтується на матеріалах переписів населення, даних поточного обліку мігрантів, вибіркових досліджень окремих міграційних потоків. Основним джерелом оперативної інформації про міграцію населення в Україні сьогодні є поточний облік міграційних подій. Він здійснюється шляхом безпосередньої реєстрації осіб, задіяних у міграційних процесах, тих, хто виписується з попереднього або прописуєт</w:t>
      </w:r>
      <w:r w:rsidRPr="00560833">
        <w:rPr>
          <w:color w:val="402A18"/>
          <w:sz w:val="28"/>
          <w:szCs w:val="28"/>
          <w:lang w:val="uk-UA"/>
        </w:rPr>
        <w:t>ься на новому місці проживання.</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p>
    <w:p w:rsidR="00964E92" w:rsidRPr="00560833" w:rsidRDefault="00964E92" w:rsidP="00560833">
      <w:pPr>
        <w:pStyle w:val="buklibnet"/>
        <w:spacing w:before="0" w:beforeAutospacing="0" w:after="0" w:afterAutospacing="0" w:line="360" w:lineRule="auto"/>
        <w:ind w:firstLine="709"/>
        <w:jc w:val="both"/>
        <w:rPr>
          <w:b/>
          <w:color w:val="402A18"/>
          <w:sz w:val="28"/>
          <w:szCs w:val="28"/>
          <w:lang w:val="uk-UA"/>
        </w:rPr>
      </w:pPr>
      <w:r w:rsidRPr="00560833">
        <w:rPr>
          <w:b/>
          <w:sz w:val="28"/>
          <w:szCs w:val="28"/>
          <w:lang w:val="uk-UA"/>
        </w:rPr>
        <w:t>8.2. Аналіз трудової мобільності в Європейському Союзі.</w:t>
      </w:r>
    </w:p>
    <w:p w:rsidR="00964E92" w:rsidRPr="00560833" w:rsidRDefault="00964E92" w:rsidP="00560833">
      <w:pPr>
        <w:pStyle w:val="buklibnet"/>
        <w:spacing w:before="0" w:beforeAutospacing="0" w:after="0" w:afterAutospacing="0" w:line="360" w:lineRule="auto"/>
        <w:ind w:firstLine="709"/>
        <w:jc w:val="both"/>
        <w:rPr>
          <w:color w:val="402A18"/>
          <w:sz w:val="28"/>
          <w:szCs w:val="28"/>
          <w:lang w:val="uk-UA"/>
        </w:rPr>
      </w:pPr>
    </w:p>
    <w:p w:rsidR="00560833" w:rsidRDefault="00964E92"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Як вказує українська дослі</w:t>
      </w:r>
      <w:r w:rsidR="00560833" w:rsidRPr="00560833">
        <w:rPr>
          <w:rFonts w:ascii="Times New Roman" w:hAnsi="Times New Roman" w:cs="Times New Roman"/>
          <w:sz w:val="28"/>
          <w:szCs w:val="28"/>
          <w:lang w:val="uk-UA"/>
        </w:rPr>
        <w:t>дниця Марія Відякіна</w:t>
      </w:r>
      <w:r w:rsidRPr="00560833">
        <w:rPr>
          <w:rFonts w:ascii="Times New Roman" w:hAnsi="Times New Roman" w:cs="Times New Roman"/>
          <w:sz w:val="28"/>
          <w:szCs w:val="28"/>
          <w:lang w:val="uk-UA"/>
        </w:rPr>
        <w:t xml:space="preserve">, у перші десятиліття після другої світової війни вироблено дві моделі міжнародного регулювання </w:t>
      </w:r>
      <w:r w:rsidRPr="00560833">
        <w:rPr>
          <w:rFonts w:ascii="Times New Roman" w:hAnsi="Times New Roman" w:cs="Times New Roman"/>
          <w:sz w:val="28"/>
          <w:szCs w:val="28"/>
          <w:lang w:val="uk-UA"/>
        </w:rPr>
        <w:lastRenderedPageBreak/>
        <w:t>міграції, насамперед трудової: модель Міжнародної організації праці (МОП) і модель у рамках Генеральної угоди з торгівлі послугами (GATS). Модель МОП домінувала в період повоєнної відбудови економіки розвинених країн Західної Європи аж до нафтової кризи 1970-х рр. Вона базувалася на двосторонніх угодах про залучення робочої сили з країн Південної Європи і третіх країн, зокрема Туреччини і країн Магрібу. Попри відмінності для різних європейських країн, міграція гостьових працівників від самого початку розцінювалася як економічна за своїм змістом, а трудові мігранти – такі, що здатні абсорбувати різноманітні економічні шоки, і їхня поведінка цілком підпадала під дію економічного закону попиту і пропозиції. У рамках цієї моделі існувала державна монополія на визначення способів переміщення робочої сили, а активна роль індивіда ігнорувалася. Теоретично, на захисті інтересів трудового мігранта стояла країна його походження, або цей захист здійснювався через врахування інтересів країни прийому і країни походження. Такі аспекти міграційного процесу, як возз’єднання сімей, гарантія працевлаштування і поселення і т.д., ця модель уза</w:t>
      </w:r>
      <w:r w:rsidRPr="00560833">
        <w:rPr>
          <w:rFonts w:ascii="Times New Roman" w:hAnsi="Times New Roman" w:cs="Times New Roman"/>
          <w:sz w:val="28"/>
          <w:szCs w:val="28"/>
          <w:lang w:val="uk-UA"/>
        </w:rPr>
        <w:t>галі не враховувала</w:t>
      </w:r>
      <w:r w:rsidRPr="00560833">
        <w:rPr>
          <w:rFonts w:ascii="Times New Roman" w:hAnsi="Times New Roman" w:cs="Times New Roman"/>
          <w:sz w:val="28"/>
          <w:szCs w:val="28"/>
          <w:lang w:val="uk-UA"/>
        </w:rPr>
        <w:t>. З теоретичного погляду, її можна класифікувати як макрорівневу політекономічну модель міжнародної міграції. В основі моделі МОП лежить співпраця суверенних країн. Але в умовах зростаючої взаємозалежності країн, н</w:t>
      </w:r>
      <w:r w:rsidR="00560833" w:rsidRPr="00560833">
        <w:rPr>
          <w:rFonts w:ascii="Times New Roman" w:hAnsi="Times New Roman" w:cs="Times New Roman"/>
          <w:sz w:val="28"/>
          <w:szCs w:val="28"/>
          <w:lang w:val="uk-UA"/>
        </w:rPr>
        <w:t>а думку М. Відякіної</w:t>
      </w:r>
      <w:r w:rsidRPr="00560833">
        <w:rPr>
          <w:rFonts w:ascii="Times New Roman" w:hAnsi="Times New Roman" w:cs="Times New Roman"/>
          <w:sz w:val="28"/>
          <w:szCs w:val="28"/>
          <w:lang w:val="uk-UA"/>
        </w:rPr>
        <w:t>, цього недостатньо. Потрібна координація міграційної політики на міжнародному рівні, а реалізація урядами незалежної політики може спричинити небажані наслідки для світу в цілому. Координація є більш вагомим і ширшим поняттям, ніж співпраця, оскільки "передбачає істотні зміни внутрішньої політики з урахуванням міжнародно</w:t>
      </w:r>
      <w:r w:rsidR="00560833" w:rsidRPr="00560833">
        <w:rPr>
          <w:rFonts w:ascii="Times New Roman" w:hAnsi="Times New Roman" w:cs="Times New Roman"/>
          <w:sz w:val="28"/>
          <w:szCs w:val="28"/>
          <w:lang w:val="uk-UA"/>
        </w:rPr>
        <w:t>ї взаємозалежності"</w:t>
      </w:r>
      <w:r w:rsidRPr="00560833">
        <w:rPr>
          <w:rFonts w:ascii="Times New Roman" w:hAnsi="Times New Roman" w:cs="Times New Roman"/>
          <w:sz w:val="28"/>
          <w:szCs w:val="28"/>
          <w:lang w:val="uk-UA"/>
        </w:rPr>
        <w:t xml:space="preserve">. Теоретичні докази оптимальності скоординованої поведінки національних держав дослідниця наводить, розглядаючи міжнародну взаємодію в міграційній сфері за допомогою математичної теорії ігор: гравцями виступають уряди держав, які застосовують різні стратегії для досягнення власних цілей (зменшення 304 масштабів імміграції, зростання рівня зайнятості, поліпшення демографічної </w:t>
      </w:r>
      <w:r w:rsidRPr="00560833">
        <w:rPr>
          <w:rFonts w:ascii="Times New Roman" w:hAnsi="Times New Roman" w:cs="Times New Roman"/>
          <w:sz w:val="28"/>
          <w:szCs w:val="28"/>
          <w:lang w:val="uk-UA"/>
        </w:rPr>
        <w:lastRenderedPageBreak/>
        <w:t>ситуації тощо); виходячи з класичної "дилеми в'язня", досягти зазначених цілей без координації неможливо. Існують також стати</w:t>
      </w:r>
      <w:r w:rsidR="00560833" w:rsidRPr="00560833">
        <w:rPr>
          <w:rFonts w:ascii="Times New Roman" w:hAnsi="Times New Roman" w:cs="Times New Roman"/>
          <w:sz w:val="28"/>
          <w:szCs w:val="28"/>
          <w:lang w:val="uk-UA"/>
        </w:rPr>
        <w:t>стичні докази (наприклад в</w:t>
      </w:r>
      <w:r w:rsidRPr="00560833">
        <w:rPr>
          <w:rFonts w:ascii="Times New Roman" w:hAnsi="Times New Roman" w:cs="Times New Roman"/>
          <w:sz w:val="28"/>
          <w:szCs w:val="28"/>
          <w:lang w:val="uk-UA"/>
        </w:rPr>
        <w:t>), що країни, які мають вищий рівень толерантності до іммігрантів і встановлюють більшу імміграційну квоту, досягають вищого рівня добробуту. Тому інтеграційні процеси у країнах Західної Європи вимагали подальшої координації зусиль з регулювання міграції і вироблення засад спільної міграційної політики, що "було вкрай непростим завданням з огляду на відмінності підходів до управління міграцією на національному рівні, різні економічні і соціальні ситуації в європейських країнах імміграції, культурні традиції, наявність зв'язків з колиш</w:t>
      </w:r>
      <w:r w:rsidR="00560833" w:rsidRPr="00560833">
        <w:rPr>
          <w:rFonts w:ascii="Times New Roman" w:hAnsi="Times New Roman" w:cs="Times New Roman"/>
          <w:sz w:val="28"/>
          <w:szCs w:val="28"/>
          <w:lang w:val="uk-UA"/>
        </w:rPr>
        <w:t>німи колоніями тощо"</w:t>
      </w:r>
      <w:r w:rsidRPr="00560833">
        <w:rPr>
          <w:rFonts w:ascii="Times New Roman" w:hAnsi="Times New Roman" w:cs="Times New Roman"/>
          <w:sz w:val="28"/>
          <w:szCs w:val="28"/>
          <w:lang w:val="uk-UA"/>
        </w:rPr>
        <w:t>. Така модель корпоративного регулювання трудової міграції почала вироблятися за зразком міжнародної торгівлі в рамках СОТ. Безпосереднім поштовхом до цього стала поява нової індустрії послуг. Генеральна угода з торгівлі послугами GATS (General Agreement on Tra</w:t>
      </w:r>
      <w:r w:rsidR="00560833" w:rsidRPr="00560833">
        <w:rPr>
          <w:rFonts w:ascii="Times New Roman" w:hAnsi="Times New Roman" w:cs="Times New Roman"/>
          <w:sz w:val="28"/>
          <w:szCs w:val="28"/>
          <w:lang w:val="uk-UA"/>
        </w:rPr>
        <w:t>de in Services)</w:t>
      </w:r>
      <w:r w:rsidRPr="00560833">
        <w:rPr>
          <w:rFonts w:ascii="Times New Roman" w:hAnsi="Times New Roman" w:cs="Times New Roman"/>
          <w:sz w:val="28"/>
          <w:szCs w:val="28"/>
          <w:lang w:val="uk-UA"/>
        </w:rPr>
        <w:t xml:space="preserve"> визначає чотири основних способи надання послуг: транскордонний, спосіб зарубіжного споживання, комерційної присутності, присутності фізичних осіб. Умови GATS щодо присутності фізичних осіб розроблено для організації доступу на ринок праці осіб, що надають послуги. У цьому випадку індивід також залежить від економічної діяльності, а питання безпеки проживання і возз’єднання родин, як і в попередній моделі, не регулюються. Безпека мігрантів залежить від компаній і держави, яка виконує контролюючу роль. Додаток до Угоди, який стосується переміщення фізичних осіб, зберігає за державами повну свободу надання громадянства і доступу до ринку праці на постійній основі. Однак на відміну від попередньої, цю модель уже можна вважати мікрорівневою. Шукаючи більш адекватних рішень, ЄС запропонував нову модель спільного регулювання міжнародної міграції, яка поєднувала елементи двох попередніх моделей. Рух осіб у межах ЄС є невід’ємною складовою європейської економічної інтеграції, а тому вирішальну роль відіграють особи як фактори виробництва. Право на пересування фізичних осіб передбачає дві з чотирьох вказаних вище свобод – </w:t>
      </w:r>
      <w:r w:rsidRPr="00560833">
        <w:rPr>
          <w:rFonts w:ascii="Times New Roman" w:hAnsi="Times New Roman" w:cs="Times New Roman"/>
          <w:sz w:val="28"/>
          <w:szCs w:val="28"/>
          <w:lang w:val="uk-UA"/>
        </w:rPr>
        <w:lastRenderedPageBreak/>
        <w:t>свобода руху осіб і послуг. Такий альтернативний підхід, виражений в Угоді про ЄС (і попередній угоді про ЄЕС), розроблено для міграції громадян країн-членів ЄС після завершення формува</w:t>
      </w:r>
      <w:r w:rsidR="00560833" w:rsidRPr="00560833">
        <w:rPr>
          <w:rFonts w:ascii="Times New Roman" w:hAnsi="Times New Roman" w:cs="Times New Roman"/>
          <w:sz w:val="28"/>
          <w:szCs w:val="28"/>
          <w:lang w:val="uk-UA"/>
        </w:rPr>
        <w:t>ння спільного ринку</w:t>
      </w:r>
      <w:r w:rsidRPr="00560833">
        <w:rPr>
          <w:rFonts w:ascii="Times New Roman" w:hAnsi="Times New Roman" w:cs="Times New Roman"/>
          <w:sz w:val="28"/>
          <w:szCs w:val="28"/>
          <w:lang w:val="uk-UA"/>
        </w:rPr>
        <w:t>. Модель ЄС є вдалим прикладом управління міграцією заради економічного результату з наголосом на правах індивідів. Однак у цій моделі право вільного пересування на громадян третіх країн не поширювалося. Реалізація численних угод з третіми країнами, включаючи Угоди про партнерство і співробітництво з країнами СНД, виявилася доволі проблематичною, що можна пояснити як небажанням країн-членів ЄС виконувати положення таких угод, де йдеться про лібералізацію переміщення 305 осіб, так і існуванням певних галузевих обмежень. Така ситуація частково є логічним наслідком періоду "нульової" імміграції, упродовж якого укладалися зазначені угоди, і надмірної політиз</w:t>
      </w:r>
      <w:r w:rsidR="00560833" w:rsidRPr="00560833">
        <w:rPr>
          <w:rFonts w:ascii="Times New Roman" w:hAnsi="Times New Roman" w:cs="Times New Roman"/>
          <w:sz w:val="28"/>
          <w:szCs w:val="28"/>
          <w:lang w:val="uk-UA"/>
        </w:rPr>
        <w:t>ації питань міграції</w:t>
      </w:r>
      <w:r w:rsidRPr="00560833">
        <w:rPr>
          <w:rFonts w:ascii="Times New Roman" w:hAnsi="Times New Roman" w:cs="Times New Roman"/>
          <w:sz w:val="28"/>
          <w:szCs w:val="28"/>
          <w:lang w:val="uk-UA"/>
        </w:rPr>
        <w:t>. Деякі дослідники також пояснюють це проблемами інституціювання на рівні ЄС. Зокрема, Мартін Шайн говорить: "...у країнах-учасницях ЄС проблема імміграції формулюється таким чином, що на рівні Євросоюзу вироблення політики перебуває під контролем міністерств внутрішніх справ і юстиції. Для політичних діячів національного масштабу, зайнятих повсякденним регулюванням рівня імміграції з метою його відповідності прогнозованим вимогам ринку праці, на рівні ЄС не існує структурних рамок, у яких можна було б провод</w:t>
      </w:r>
      <w:r w:rsidR="00560833" w:rsidRPr="00560833">
        <w:rPr>
          <w:rFonts w:ascii="Times New Roman" w:hAnsi="Times New Roman" w:cs="Times New Roman"/>
          <w:sz w:val="28"/>
          <w:szCs w:val="28"/>
          <w:lang w:val="uk-UA"/>
        </w:rPr>
        <w:t>ити таку політику "</w:t>
      </w:r>
      <w:r w:rsidRPr="00560833">
        <w:rPr>
          <w:rFonts w:ascii="Times New Roman" w:hAnsi="Times New Roman" w:cs="Times New Roman"/>
          <w:sz w:val="28"/>
          <w:szCs w:val="28"/>
          <w:lang w:val="uk-UA"/>
        </w:rPr>
        <w:t xml:space="preserve">. Розглядаючи процес формування та інституціювання такої спільної міграційної політики ЄС, доречно згадати думку британського професора Ендрю Геддеса про те, що нові політичні можливості й наслідки, користь і інституційні мотивації необхідно визначати з концептуальної й організаційної основи контексту міграційної політики ЄС. "Міграційна політика Євросоюзу є гібридом, який включає міжурядові і наднаціональні елементи. Міграція в межах ЄС (вільне переміщення в межах території союзу громадян країн-членів ЄС) є значною мірою наднаціональною, тоді як міграція з-за меж ЄС (імміграція і пошук притулку) в основному залишається предметом міжурядового співробітництва. Вільне </w:t>
      </w:r>
      <w:r w:rsidRPr="00560833">
        <w:rPr>
          <w:rFonts w:ascii="Times New Roman" w:hAnsi="Times New Roman" w:cs="Times New Roman"/>
          <w:sz w:val="28"/>
          <w:szCs w:val="28"/>
          <w:lang w:val="uk-UA"/>
        </w:rPr>
        <w:lastRenderedPageBreak/>
        <w:t xml:space="preserve">переміщення конституюється в тому сенсі, що угоди між державами трансформуються в своєрідні закони, які в такий спосіб пов’язують держави, що анархічний за природою міжнаціональний порядок структурується – стає впорядкованим і ієрархічним. </w:t>
      </w:r>
    </w:p>
    <w:p w:rsidR="00964E92" w:rsidRPr="00560833" w:rsidRDefault="00964E92"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 xml:space="preserve">А наднаціональне інституціювання постає з можливості появи несподіваних результатів унаслідок розширення повноважень наднаціональних </w:t>
      </w:r>
      <w:r w:rsidR="00560833" w:rsidRPr="00560833">
        <w:rPr>
          <w:rFonts w:ascii="Times New Roman" w:hAnsi="Times New Roman" w:cs="Times New Roman"/>
          <w:sz w:val="28"/>
          <w:szCs w:val="28"/>
          <w:lang w:val="uk-UA"/>
        </w:rPr>
        <w:t>інституцій"</w:t>
      </w:r>
      <w:r w:rsidRPr="00560833">
        <w:rPr>
          <w:rFonts w:ascii="Times New Roman" w:hAnsi="Times New Roman" w:cs="Times New Roman"/>
          <w:sz w:val="28"/>
          <w:szCs w:val="28"/>
          <w:lang w:val="uk-UA"/>
        </w:rPr>
        <w:t>. Європейська модель, як і всі попередні, також не дає адекватних відповідей на нові виклики міжнародної міграції. Мабуть, найбільшим її недоліком є регіональний характер. Однак можна з упевненістю стверджувати, що ця модель виступає істотним стимулом і взірцем для вироблення глобальних моделей управління міжнародною міграцією. Нові підходи щодо активізації співпраці у сфері міграції відобразилися в численних форумах, зокрема на рівні ООН. У 2003 р. в рамках ООН створено Глобальну комісію з міжнародної міграції, мета діяльності якої полягає в намаганні поглибити міжнародне співробітництво в галузі міграції на національному, регіональному і глобальному рівні. Також варто згадати такі ініціативи, як проект Міжнародної організації з міграції (МОМ) "Діалоги з питань міграції", Бернські ініціативи і зусилля МОП щодо лібералізації системи управління міжнародною міграціє</w:t>
      </w:r>
      <w:r w:rsidR="00560833" w:rsidRPr="00560833">
        <w:rPr>
          <w:rFonts w:ascii="Times New Roman" w:hAnsi="Times New Roman" w:cs="Times New Roman"/>
          <w:sz w:val="28"/>
          <w:szCs w:val="28"/>
          <w:lang w:val="uk-UA"/>
        </w:rPr>
        <w:t>ю</w:t>
      </w:r>
      <w:r w:rsidRPr="00560833">
        <w:rPr>
          <w:rFonts w:ascii="Times New Roman" w:hAnsi="Times New Roman" w:cs="Times New Roman"/>
          <w:sz w:val="28"/>
          <w:szCs w:val="28"/>
          <w:lang w:val="uk-UA"/>
        </w:rPr>
        <w:t>. Власну концептуальну модель міграційного менеджменту, як ми в</w:t>
      </w:r>
      <w:r w:rsidR="00560833" w:rsidRPr="00560833">
        <w:rPr>
          <w:rFonts w:ascii="Times New Roman" w:hAnsi="Times New Roman" w:cs="Times New Roman"/>
          <w:sz w:val="28"/>
          <w:szCs w:val="28"/>
          <w:lang w:val="uk-UA"/>
        </w:rPr>
        <w:t>же згадували, пропонує МОМ</w:t>
      </w:r>
      <w:r w:rsidRPr="00560833">
        <w:rPr>
          <w:rFonts w:ascii="Times New Roman" w:hAnsi="Times New Roman" w:cs="Times New Roman"/>
          <w:sz w:val="28"/>
          <w:szCs w:val="28"/>
          <w:lang w:val="uk-UA"/>
        </w:rPr>
        <w:t>. Її модель передбачає механізм управління міграцією на національному, регіональному і глобальному рівнях, у політичній, законодавчій сфері й галузі 306 адміністративного управління за напрямами: міграція і розвиток, вимушена міграція, сприяння і регулювання міграції. Однак дотепер жодна із зазначених організацій не стала форумом для багатосторонніх переговорів стосовно міграційної політики і питань іммігра</w:t>
      </w:r>
      <w:r w:rsidR="00560833" w:rsidRPr="00560833">
        <w:rPr>
          <w:rFonts w:ascii="Times New Roman" w:hAnsi="Times New Roman" w:cs="Times New Roman"/>
          <w:sz w:val="28"/>
          <w:szCs w:val="28"/>
          <w:lang w:val="uk-UA"/>
        </w:rPr>
        <w:t>ційного контролю</w:t>
      </w:r>
      <w:r w:rsidRPr="00560833">
        <w:rPr>
          <w:rFonts w:ascii="Times New Roman" w:hAnsi="Times New Roman" w:cs="Times New Roman"/>
          <w:sz w:val="28"/>
          <w:szCs w:val="28"/>
          <w:lang w:val="uk-UA"/>
        </w:rPr>
        <w:t>.</w:t>
      </w:r>
    </w:p>
    <w:p w:rsidR="00560833" w:rsidRDefault="00560833"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 xml:space="preserve">Подієвий аналіз і аналіз законодавчої бази з відповідної тематики цілком підтверджують адекватність такого поділу, але, на нашу думку, доцільно уточнити часові рамки і зміст кожного етапу: </w:t>
      </w:r>
    </w:p>
    <w:p w:rsidR="00560833" w:rsidRDefault="00560833"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lastRenderedPageBreak/>
        <w:t xml:space="preserve">1) 1951–1980 рр. – зародження міграційної політики і формування основ вільного переміщення осіб на території ЄС; </w:t>
      </w:r>
    </w:p>
    <w:p w:rsidR="00560833" w:rsidRDefault="00560833"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 xml:space="preserve">2) 1980–1991 рр. – пожвавлення міжурядового співробітництва в міграційній сфері і створення Шенгенського простору; </w:t>
      </w:r>
    </w:p>
    <w:p w:rsidR="00560833" w:rsidRDefault="00560833"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 xml:space="preserve">3) 1992–1998 рр. – утворення ЄС, формування передумов прийняття курсу на спільну міграційну політику країн-членів Євросоюзу; </w:t>
      </w:r>
    </w:p>
    <w:p w:rsidR="00560833" w:rsidRDefault="00560833"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4) з 1999 р. – прийняття курсу на спільну міграційну політику країнчленів ЄС, розбудова єдиного простору свободи, рівності і правосуддя. Досягненнями першого етапу є закладення основ вільного руху трудових мігрантів на території європейських спільнот, розбудова єдиного економічного простору і соціального забезпечення. Гарантії свободи переміщення робочої сили зафіксовані Паризькою угодою (1952 р.) про створення Європейського співтовариства вугілля і сталі, двома Римськими договорами, якими створювалися Європейське співтовариство з атомної енергії і Європейське економічне співтовариство (1957 р.) [448]. Вільне переміщення почалося в межах шести країн і поступово розширилося до п’ятнадцяти країн-членів ЄС. Громадяни країн-членів набули права шукати роботу в інших країнах ЄС, переїжджати в інші країни з метою пошуку роботи, проживати в інших країнах ЄС у разі працевлаштування, залишатися в цих країнах після закінчення термінів праці за умови фінансової самодостатності. Крім того, будь-яка дискримінація в працевлаштуванні, умовах оплати праці на підставі громадянства не допускалася. Свободу пересування мали постійні, сезонні, прикордонні працівники, а також особи</w:t>
      </w:r>
      <w:r>
        <w:rPr>
          <w:rFonts w:ascii="Times New Roman" w:hAnsi="Times New Roman" w:cs="Times New Roman"/>
          <w:sz w:val="28"/>
          <w:szCs w:val="28"/>
          <w:lang w:val="uk-UA"/>
        </w:rPr>
        <w:t>, які працюють не за наймом.</w:t>
      </w:r>
      <w:r w:rsidRPr="00560833">
        <w:rPr>
          <w:rFonts w:ascii="Times New Roman" w:hAnsi="Times New Roman" w:cs="Times New Roman"/>
          <w:sz w:val="28"/>
          <w:szCs w:val="28"/>
          <w:lang w:val="uk-UA"/>
        </w:rPr>
        <w:t xml:space="preserve"> Приписом Ради європейських спільнот від 15 жовтня 1968 р. зазначалося, що мобільність робочої сили в рамках Співдружності має бути одним із засобів, який гарантує працівникові можливість поліпшити умови життя і праці та сприяє його соціальному розвиткові і водночас допомагає забезпеченню потр</w:t>
      </w:r>
      <w:r>
        <w:rPr>
          <w:rFonts w:ascii="Times New Roman" w:hAnsi="Times New Roman" w:cs="Times New Roman"/>
          <w:sz w:val="28"/>
          <w:szCs w:val="28"/>
          <w:lang w:val="uk-UA"/>
        </w:rPr>
        <w:t>еб економіки держав-членів</w:t>
      </w:r>
      <w:r w:rsidRPr="00560833">
        <w:rPr>
          <w:rFonts w:ascii="Times New Roman" w:hAnsi="Times New Roman" w:cs="Times New Roman"/>
          <w:sz w:val="28"/>
          <w:szCs w:val="28"/>
          <w:lang w:val="uk-UA"/>
        </w:rPr>
        <w:t xml:space="preserve">. Законодавчу основу вільного переміщення склали акти, присвячені питанням соціального захисту й умовам праці працівників-мігрантів, </w:t>
      </w:r>
      <w:r w:rsidRPr="00560833">
        <w:rPr>
          <w:rFonts w:ascii="Times New Roman" w:hAnsi="Times New Roman" w:cs="Times New Roman"/>
          <w:sz w:val="28"/>
          <w:szCs w:val="28"/>
          <w:lang w:val="uk-UA"/>
        </w:rPr>
        <w:lastRenderedPageBreak/>
        <w:t>діяльності створеного в 1957 р. Європейського соціального фонду (ЄСФ). Згодом було прийнято низку директив і рекомендацій щодо прав працівниківмігрантів з країн ЄС, а в 1976 р. – затверджено Програму дій щодо працівників-мігрантів і членів їхніх сімей. Основними проблемами періоду є ігнорування національними урядами важливості довгострокової міграції, небажання співпрацювати на рівні наднаціональних інститутів ЄС. Питання міграції з третіх країн залишалося виключно під юрисдикцією національного законодавства, що унеможливлювало подвійну конкуренцію на ринку праці для мігр</w:t>
      </w:r>
      <w:r>
        <w:rPr>
          <w:rFonts w:ascii="Times New Roman" w:hAnsi="Times New Roman" w:cs="Times New Roman"/>
          <w:sz w:val="28"/>
          <w:szCs w:val="28"/>
          <w:lang w:val="uk-UA"/>
        </w:rPr>
        <w:t>антів з третіх країн</w:t>
      </w:r>
      <w:r w:rsidRPr="00560833">
        <w:rPr>
          <w:rFonts w:ascii="Times New Roman" w:hAnsi="Times New Roman" w:cs="Times New Roman"/>
          <w:sz w:val="28"/>
          <w:szCs w:val="28"/>
          <w:lang w:val="uk-UA"/>
        </w:rPr>
        <w:t>.</w:t>
      </w:r>
    </w:p>
    <w:p w:rsidR="00560833" w:rsidRPr="00560833" w:rsidRDefault="00560833" w:rsidP="00560833">
      <w:pPr>
        <w:spacing w:after="0" w:line="360" w:lineRule="auto"/>
        <w:ind w:firstLine="709"/>
        <w:jc w:val="both"/>
        <w:rPr>
          <w:rFonts w:ascii="Times New Roman" w:hAnsi="Times New Roman" w:cs="Times New Roman"/>
          <w:sz w:val="28"/>
          <w:szCs w:val="28"/>
          <w:lang w:val="uk-UA"/>
        </w:rPr>
      </w:pPr>
      <w:r w:rsidRPr="00560833">
        <w:rPr>
          <w:rFonts w:ascii="Times New Roman" w:hAnsi="Times New Roman" w:cs="Times New Roman"/>
          <w:sz w:val="28"/>
          <w:szCs w:val="28"/>
          <w:lang w:val="uk-UA"/>
        </w:rPr>
        <w:t>Про спільну міграційну політику мова поки що не йшла. Однак, незважаючи на проблеми, відбулися зрушення, які дали поштовх для вироблення такої політики. По-перше, західноєвропейські держави відчули потребу в імміграції та її позитивні наслідки, хоча економічна криза і змусила вживати заходи для запобігання спонтанному розгортанню імміграційних потоків. По-друге, уряди держав почали усвідомлювати, що запроваджувані ними односторонні заходи щодо припинення імміграції і скорочення чисельності іноземців виявилися недостатньо результативними і ефективними. По-третє, важливим стало проведення країнами прийому розмежування між політикою, спрямованою на регулювання міграційних потоків, і заходами з</w:t>
      </w:r>
      <w:r>
        <w:rPr>
          <w:rFonts w:ascii="Times New Roman" w:hAnsi="Times New Roman" w:cs="Times New Roman"/>
          <w:sz w:val="28"/>
          <w:szCs w:val="28"/>
          <w:lang w:val="uk-UA"/>
        </w:rPr>
        <w:t xml:space="preserve"> інтеграції іноземних громадян</w:t>
      </w:r>
      <w:r w:rsidRPr="00560833">
        <w:rPr>
          <w:rFonts w:ascii="Times New Roman" w:hAnsi="Times New Roman" w:cs="Times New Roman"/>
          <w:sz w:val="28"/>
          <w:szCs w:val="28"/>
          <w:lang w:val="uk-UA"/>
        </w:rPr>
        <w:t>. Крім того, розвиваючись за власною логікою, спільний ринок поступово перетворився на самостійну силу, в якої є свої потреби. Усе це, а також посилення міграційного тиску з боку третіх країн стало чинниками, які стимулювали уряди до подальшої співпраці і вироблення спільної політики в галузі імміграції. На другому етапі знаходять втілення бажання національних урядів співпрацювати в міграційній сфері. Головними досягненнями періоду є прийняття таких основоположних документів, як Шенгенська угода (1985 р.) і Конвенція про її застосування (1990 р.), Єдиний європейський акт (1986 р.) і Дублінська конвенція (1990 р.). 1985 р. у замку Шенген у Люксембурзі було підписано угоду між урядами держа</w:t>
      </w:r>
      <w:r>
        <w:rPr>
          <w:rFonts w:ascii="Times New Roman" w:hAnsi="Times New Roman" w:cs="Times New Roman"/>
          <w:sz w:val="28"/>
          <w:szCs w:val="28"/>
          <w:lang w:val="uk-UA"/>
        </w:rPr>
        <w:t>в Бенілюксу, ФРН і Франції</w:t>
      </w:r>
      <w:r w:rsidRPr="00560833">
        <w:rPr>
          <w:rFonts w:ascii="Times New Roman" w:hAnsi="Times New Roman" w:cs="Times New Roman"/>
          <w:sz w:val="28"/>
          <w:szCs w:val="28"/>
          <w:lang w:val="uk-UA"/>
        </w:rPr>
        <w:t xml:space="preserve">, згідно з якою </w:t>
      </w:r>
      <w:r w:rsidRPr="00560833">
        <w:rPr>
          <w:rFonts w:ascii="Times New Roman" w:hAnsi="Times New Roman" w:cs="Times New Roman"/>
          <w:sz w:val="28"/>
          <w:szCs w:val="28"/>
          <w:lang w:val="uk-UA"/>
        </w:rPr>
        <w:lastRenderedPageBreak/>
        <w:t>послаблювався прикордонний контроль між країнами. Для уникнення подвійних перевірок створюються спільні прикордонні пости, запроваджується візуальний і вибірковий контроль. Остаточне скасування прикордонного контролю на 308 внутрішніх кордонах і перенесення його на зовнішній кордон завершилося в 1990 р. підписанням Конвенції про заст</w:t>
      </w:r>
      <w:r>
        <w:rPr>
          <w:rFonts w:ascii="Times New Roman" w:hAnsi="Times New Roman" w:cs="Times New Roman"/>
          <w:sz w:val="28"/>
          <w:szCs w:val="28"/>
          <w:lang w:val="uk-UA"/>
        </w:rPr>
        <w:t>осування Шенгенської угоди</w:t>
      </w:r>
      <w:r w:rsidRPr="00560833">
        <w:rPr>
          <w:rFonts w:ascii="Times New Roman" w:hAnsi="Times New Roman" w:cs="Times New Roman"/>
          <w:sz w:val="28"/>
          <w:szCs w:val="28"/>
          <w:lang w:val="uk-UA"/>
        </w:rPr>
        <w:t>. Для запобігання небажаним наслідкам Конвенція передбачала заходи боротьби з неконтрольованою міграцією, торгівлею зброєю і наркотиками, контрабандою. Запроваджувався постійний обмін інформацією і співпраця між правоохоронними і судовими інституціями різних країн, зокрема, створюється і впроваджується Шенгенська інформаційна система (SIS І). Шенгенські домовленості передбачали також узгодження візових політик держав. Було вироблено візу єдиного зразка, складено список країн, громадяни яких повинні мати візи на в’їзд до Шенгенського простору, підготовлено спільні критерії для видачі віз.</w:t>
      </w:r>
    </w:p>
    <w:p w:rsidR="00560833" w:rsidRPr="00560833" w:rsidRDefault="00560833" w:rsidP="00560833">
      <w:pPr>
        <w:spacing w:after="0" w:line="360" w:lineRule="auto"/>
        <w:ind w:firstLine="709"/>
        <w:jc w:val="both"/>
        <w:rPr>
          <w:rFonts w:ascii="Times New Roman" w:hAnsi="Times New Roman" w:cs="Times New Roman"/>
          <w:sz w:val="28"/>
          <w:szCs w:val="28"/>
          <w:lang w:val="uk-UA"/>
        </w:rPr>
      </w:pPr>
    </w:p>
    <w:p w:rsidR="00560833" w:rsidRDefault="00560833" w:rsidP="00560833">
      <w:pPr>
        <w:spacing w:after="0" w:line="360" w:lineRule="auto"/>
        <w:ind w:firstLine="709"/>
        <w:jc w:val="both"/>
        <w:rPr>
          <w:rFonts w:ascii="Times New Roman" w:hAnsi="Times New Roman" w:cs="Times New Roman"/>
          <w:sz w:val="28"/>
          <w:szCs w:val="28"/>
          <w:lang w:val="uk-UA"/>
        </w:rPr>
      </w:pPr>
    </w:p>
    <w:p w:rsidR="00560833" w:rsidRDefault="00560833" w:rsidP="00560833">
      <w:pPr>
        <w:spacing w:after="0" w:line="360" w:lineRule="auto"/>
        <w:ind w:firstLine="709"/>
        <w:jc w:val="both"/>
        <w:rPr>
          <w:rFonts w:ascii="Times New Roman" w:hAnsi="Times New Roman" w:cs="Times New Roman"/>
          <w:sz w:val="28"/>
          <w:szCs w:val="28"/>
          <w:lang w:val="uk-UA"/>
        </w:rPr>
      </w:pPr>
    </w:p>
    <w:p w:rsidR="00560833" w:rsidRDefault="00560833" w:rsidP="00560833">
      <w:pPr>
        <w:spacing w:after="0" w:line="360" w:lineRule="auto"/>
        <w:ind w:firstLine="709"/>
        <w:jc w:val="both"/>
        <w:rPr>
          <w:rFonts w:ascii="Times New Roman" w:hAnsi="Times New Roman" w:cs="Times New Roman"/>
          <w:sz w:val="28"/>
          <w:szCs w:val="28"/>
          <w:lang w:val="uk-UA"/>
        </w:rPr>
      </w:pPr>
    </w:p>
    <w:p w:rsidR="00560833" w:rsidRDefault="00560833" w:rsidP="00560833">
      <w:pPr>
        <w:spacing w:after="0" w:line="360" w:lineRule="auto"/>
        <w:ind w:firstLine="709"/>
        <w:jc w:val="both"/>
        <w:rPr>
          <w:rFonts w:ascii="Times New Roman" w:hAnsi="Times New Roman" w:cs="Times New Roman"/>
          <w:sz w:val="28"/>
          <w:szCs w:val="28"/>
          <w:lang w:val="uk-UA"/>
        </w:rPr>
      </w:pPr>
    </w:p>
    <w:p w:rsidR="00560833" w:rsidRPr="00560833" w:rsidRDefault="00560833" w:rsidP="00560833">
      <w:pPr>
        <w:spacing w:after="0" w:line="360" w:lineRule="auto"/>
        <w:ind w:firstLine="709"/>
        <w:jc w:val="both"/>
        <w:rPr>
          <w:rFonts w:ascii="Times New Roman" w:hAnsi="Times New Roman" w:cs="Times New Roman"/>
          <w:sz w:val="28"/>
          <w:szCs w:val="28"/>
          <w:lang w:val="uk-UA"/>
        </w:rPr>
      </w:pPr>
    </w:p>
    <w:sectPr w:rsidR="00560833" w:rsidRPr="00560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92"/>
    <w:rsid w:val="00442852"/>
    <w:rsid w:val="00560833"/>
    <w:rsid w:val="00964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klibnet">
    <w:name w:val="buklibnet"/>
    <w:basedOn w:val="a"/>
    <w:rsid w:val="00964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4E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klibnet">
    <w:name w:val="buklibnet"/>
    <w:basedOn w:val="a"/>
    <w:rsid w:val="00964E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4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6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3404</Words>
  <Characters>19406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2023-03-15T09:03:00Z</dcterms:created>
  <dcterms:modified xsi:type="dcterms:W3CDTF">2023-03-15T09:20:00Z</dcterms:modified>
</cp:coreProperties>
</file>