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E5" w:rsidRPr="00904188" w:rsidRDefault="00904188" w:rsidP="009041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Style w:val="markedcontent"/>
          <w:rFonts w:ascii="Times New Roman" w:hAnsi="Times New Roman" w:cs="Times New Roman"/>
          <w:sz w:val="28"/>
          <w:szCs w:val="28"/>
        </w:rPr>
        <w:t xml:space="preserve">Тема 2. </w:t>
      </w:r>
      <w:r w:rsidRPr="00904188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Інструменти регулювання міжнародної торгі</w:t>
      </w:r>
      <w:proofErr w:type="gramStart"/>
      <w:r w:rsidRPr="00904188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 w:rsidRPr="00904188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і товарами та послугами.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Інструменти (методи) зовнішньоторговельної політики дуже різноманітні, їх нараховується понад тисячу. Це обумовлює існу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вання різних підходів до їх класифікації.</w:t>
      </w:r>
    </w:p>
    <w:p w:rsidR="00904188" w:rsidRPr="00904188" w:rsidRDefault="000C1930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 w:rsidR="00904188"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Данильцев дає таку класифікацію інструментів регулюван</w:t>
      </w:r>
      <w:r w:rsidR="00904188"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ня міжнародної торгівлі товарами;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 характером та ціл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 застосування заходів регулю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вання: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Інструменти, які передбачають застосування заходів регулю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вання при перетині товаром митного корд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ону (прикордонні заходи);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інструменти, які передбачають застосування заходів, які сто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суються внутрішнього ринку в цілому, але не зачіпають умов досту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пу іноземн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товарів на внутрішній ринок;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інструменти, які використовуються для покращення умов до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ступу вітчизняних товарів на іноземні ринки. Зокрема це заходи 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відповідь. Вони не мають на меті обмеження доступу на ринок, але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є засобом тиску на партнерів, щоб ті скасували свої обмеження. Ці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обмеження можуть на</w:t>
      </w:r>
      <w:r w:rsidR="00BD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бувати найрізноманітніших форм;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 характером інструментів, що використовуються:</w:t>
      </w:r>
      <w:bookmarkStart w:id="0" w:name="_GoBack"/>
      <w:bookmarkEnd w:id="0"/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тарифні — мита та інші митно-тарифні заходи;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Й — нетарифні — решта інструментів регулювання;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за характером впливу на умови конкуренції: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інструменти, які обмежують іноземну конкуренцію на внутріш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ньому ринку;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інструменти забезпечення добросовісної конкуренції;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інструменти, які забезпечують підвищення конкурентоспро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можності власних (національних) товарів на закордонних ринках; 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— інструменти, спрямовані на усунення обмеження конкуренції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 закордонних ринках та полегшення доступу національних то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варів на ці ринки; 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залежно від особливостей застосування заходів регулю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вання: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односторонні (автономні) заходи — застосовуються урядами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країн в односторонньому порядку без погодження або консультації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 торговими партнерами. Такі заходи вживаються здебільшого під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час загострення політичних відносин; 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двосторонні заходи — застосовуються у рамках двосторонніх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угод. Такі заходи попередньо узгоджуються країнами — торгови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ми партнерами. Кожна з країн попереджає свого торгового партне- 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 про вживання будь-яких заходів, які, як правило, не вносять сут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тєвих змін у торговельні відносини, а лише сприяють їм;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багатосторонні заходи — застосовуються у рамках багатосто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ронніх угод (наприклад, ГАТТ/ВТО); 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з погляду історичного розвитку форм протекціонізму та еволюції міжнародної торгівлі: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інструменти традиційного протекціонізму — носять в ос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новному обмежувальний характер та виявляються у створенні тор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гових бар'єрів, які перешкоджають доступу іноземних товарів на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внутрішній ринок у цілому. Мета традиційного протекціонізму —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трансформувати умови конкуренції таким чином, щоб дати мо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жливість національним підприємствам успішно конкурувати з іно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земними постачальниками при тому наборі конкурентних переваг 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тій забезпеченості факторами виробництва, які мають національні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підприємства. Ця мета досягається за рахунок втручання в ринко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ве конкурентне середовище і деякого зниження ефективності ви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користання ресурсів в економіці. При цьому створюються умови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для функціонування менш ефективних з точки зору світового рин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ку підприємств. Таким чином, у певному значенні вся економіка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прилаштовується під неефективні підприємства або сектори еконо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міки. При цій формі протекціонізму дискримінуються іноземні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товари. Важлива особливість цього протекціонізму — його порівняно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пасивний характер. Це виявляється у тому, що країна передусім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прагне зберегти позиції національних виробників на внутрішньо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му ринку. Застосування заходів такого протекціонізму має суб'єктив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ний характер, не завжди можна відстежити їх взаємозв'язок із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об'єктивними економічними показниками. Найтиповіші приклади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використання інструментів цієї форми протекціонізму — прикор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донні бар'єри у формі тарифних і нетарифны</w:t>
      </w:r>
      <w:r w:rsidR="00BD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обмежень у торгівлі</w:t>
      </w:r>
      <w:r w:rsidR="00BD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товарами;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інструменти виборчого протекціонізму — спрямовані в ос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новному проти недобросовісних і найбільш небезпечних інозем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них конкурентів. У рамках даної концепції протекціонізму існу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ють два напрямки: основний — протидія недобросовісній конку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ренції; доповнюючий — надзвичайні обмежувальні заходи, які зас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тосовуються у випадку загрожуючого загострення іноземної кон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куренції. Цей протекціонізм має у чистому вигляді не стільки об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межувальний, скільки коригуючий характер і спрямований на усу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нення викривлень нормальних умов конкуренції, які можуть ви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никнути у зв'язку із втручанням держави (у формі субсидування)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або із дискримінаційною політикою приватних компаній у сфері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Цін (демпінг). При цьому теоретично не утворюються умови для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обмеження міжнародної торгівлі у цілому і можливе ефективне </w:t>
      </w:r>
    </w:p>
    <w:p w:rsid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конкурентних переваг і переваг міжнародного поділу праці, а самі обмеження не є засобом дискримінації, а навпаки, усу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вають її. Ця концепція протекціонізму добре сполучається з полі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тикою лібералізації торгівлі у цілому і з вимогами про розширен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ня доступу на іноземні ринки. Застосування обмежувальних за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ходів обов'язково пов'язане з об'єктивними 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кількісними економіч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ними параметрами, причому такий взаємозв'язок необхідно одно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значно і точно встановити. На практиці цей протекціонізм може застосовуватись і як обмежувальний засіб, коли він має дискримі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наційний характер. Його у найбільшому ступені можна уніфікува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ти на міжнародному рівні, він відповідає ідеї багатосторонності. Важлива особливість цього типу протекціонізму полягає в тому, що він не може обмежуватися прикордонними заходами. 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Торгова полі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тика виходить за рамки власне заходів регулювання експорту та імпорту. Ефективна політика у сфері торгівлі товарами стає мож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ливою лише у поєднанні з відповідними заходами у сфері руху капіталу, торгівлі об'єктами Інтелектуальної власності. У торгівлі товарами заходи виборчого протекціонізму застосовуються у ви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гляді спеціальних процедур квазісудового характеру, які передують застосуванню прикордонних обмежень у вигляді заходів тарифно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го і рідше кількісних обмежень (антидемпінгові, компенсаційні та захисні заходи);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інструменти глобального (екстериторіального) протек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ціонізму — впливають на умови виробництва за кордоном. Країна, яка проводить таку політику, намагається впливати на умови вико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ристання конкурентами переваг і факторів виробництва у країнах -конкурентах. Торгові обмеження застосовуються у тих випадках, коли структура використання фак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торів виробництва у країнах-кон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курентах така, що за тими чи іншими параметрами вони можуть одержати порівняльні переваги з боку зниження затрат (наприк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лад, відсутність у країні екологічних вимог або системи забезпечен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ня соціальних прав працівників). Цей підхід спрямований на фор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мування уніфікованих стандартів розвитку економіки з точки зору формування конкурентних переваг у міжнародній торгівлі. Про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явом цієї форми протекціонізму є, зокрема, концепція "справедли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вої торгівлі" (fair trade). Наприклад, за мету застосування декла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рується прагнення усунути відхилення від загальноприйнятих соці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альних та екологічних стандартів, використання положень відо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мих статей американського законодавства: "статті 301" та 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"статті 301-супер". Ця концепція в основному застосовується країнами з високим рівнем розвитку економіки та високими технічними, со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ціальними й економічними стандартами. Така політика передбачає можливість утворення перешкод для міжнародної торгівлі, а в найгіршому варіанті — для формування відносно замкнених груп дер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жав з більш або менш однаковим рівнем розвитку економіки. У принципі, концепція екстериторіального протекціонізму погано поєднується з розвитком багатосторонності в регулюванні міжна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родної торгівлі. Форма реалізації — торгово-політичні переговори, у випадку невдачі яких можуть використовуватись будь-які захо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ди обмежувального характеру.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ці три системи протекціонізму ідуть в історичному розвитку одна за одною, але з погляду на їх застосування часто можуть вико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ристовуватись одночасно.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 широкого застосування набула класифікація інстру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ментів державного регулювання зовнішньої торгівлі за їх ха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рактером — тарифні та нетарифні інструменти. Ця класифі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кація відображена у різних правових документах національного і міжнародного права. Вперше вона була запропонована Секретаріа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том ГАТТ наприкінці 60-х років. До першої групи — тарифних інструментів — належать виключно мита, зафіксовані у вигляді митного тарифу (експортного та імпортного), як найбільш пошире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ний традиційний засіб зовнішньоторговельної політики. До другої групи — нетарифних — решта інструментів.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основу цієї класифікації покладено суттєві відмінності як у методах обмеження ввезення/вивезення товарів, так і в способах впливу на ринкові відносини. Виділення митного тарифу в окрему категорію пов'язане з характерними особливостями, які визначають його провідну роль у державній зовнішньоторговельній політиці.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економічної точки зору мито належить до непрямих податків, які включаються у ціну товару, хоча правові основи та практика застосування мит і внутрішніх податків суттєво відрізняються. Тарифу властиві всі 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характеристики економічного регулювання зовнішньої торгівлі і найвищий серед усіх відомих інструментів ступінь стабільності. А.І. Шишаєв вважає, що стабільність тарифу обумовлена такими особливостями його застосування: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величина тарифів відома, офіційно опублікована; тарифи діють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відносно всіх суб'єктів торгівлі та з усього кола однорідних товарів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(хоча, залежно від торгово-політичних відносин з країною похо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дження товару та від конкретного його виду, тобто позиції у то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варній номенклатурі); 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застосування тарифу регламентується на законодавчому рівні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виконавча влада має у цьому питанні, як правило, обмежену сферу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повноважень. Існує єдина, законодавчо закріплена процедура його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застосування; 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тарифне регулювання відрізняється високим ступенем транспа-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рентності, тобто прозорості системи регулювання зовнішньої торгівлі; 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  норми міжнародного права жорстко визначають правила та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рифної політики; 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  ставки мит в усіх державах—членах ГАТТ/ВТО є "зв'язани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ми", тобто не можуть бути змінені в односторонньому порядку. Підви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щення мит для членів ГАТТ/ВТО можливе лише після складної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процедури багатосторонніх переговорів з іншими членами. 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Нетарифні інструменти також є економічними заходами. Завдя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ки тому, що нетарифні інструменти так само, як і тарифні, вплива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ють на ціну товару, їх часто називають "паратарифними". Це пов'я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зано з їх високим та невизначеним рівнем, обмеженим строком дії, вибірковістю застосування та особливою процедурою нараху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вання. Наприклад, антидемпінгові мита збираються заднім числом, при цьому нерідко через певний ч</w:t>
      </w:r>
      <w:r w:rsidR="00BD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 після поставлення товару. Не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визначеність та постійна загроза їх нарахування у значній сумі сильніше стримуюче впливає на експортера, ніж заздалегідь відомі відносно невисокі імпортні мита.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Багато міжнародних документів, зокрема ГАТТ/ВТО, закріплю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ють пріоритетність використання тарифу, як засобу зовнішньотор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говельного регулювання, доцільність перенесення акцентів саме на використання мит у регулюванні зовнішньоторгового обороту. У рамках ГАТТ/ВТО триває процес тарифікації нетарифних бар'єрів, тобто перерахування впливу нетарифного бар'єра у значення мита, за принципом рівності впливу на торгівлю певним товаром.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Нетарифне регулювання включає багато інструментів сучасної економічної та торговельної політики держав, декотрі з яких без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посередньо не зв'язані із зовнішньополітичним регулюванням, але суттєво впливають на міжнародний товарообіг. У світовій прак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тиці налічується понад 100 позицій, за якими класифікуються не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тарифні обмеження. В рамках ГАТТ/ВТО створена спеціальна база нетарифних обмежень, яка, постійно поповнюючись, зберігає єдину термінологію, використовувану торговельними правилами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ільшості держав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Нетарифні інструменти обмежують, ускладнюють або затриму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ють доступ іноземних товарів у країну, В результаті скорочується вибір товарів, руйнується ринковий механізм, знижується роль спо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живачів у функціонуванні ринку. Разом з тим, розширюються мож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ливості впливу на внутрішній ринок більш вузьких груп підпри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ємців, передусім — монополій. Під їх впливом уряди, встановлю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ючи те чи інше обмеження, фактично нав'язують споживачам то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варну структуру ринку і насильницьким шляхом зумовлюють їх вибір на користь національної продукції.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А.І. Шишаєв наводить такі причини активізації використання нетарифних інструментів у наш час: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зниження ставок мит в рамках восьми раундів багатосторонніх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переговорів (див. додаток 2) і "зв'язування митних тарифів" у рам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ках ГАТТ/ВТО призвело до втрати митами протекціоністського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значення. Особливо це стосується питань регулювання імпорту нау-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коємної продукції, тому що попит на неї визначається не лише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ціною, але й техніко-економічними показниками; </w:t>
      </w:r>
    </w:p>
    <w:p w:rsidR="00904188" w:rsidRPr="00904188" w:rsidRDefault="00904188" w:rsidP="009041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значно зросли внутрішньофірмові поставки товарів і коопера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ційні поставки згідно довгострокових угод між великими суб'єкта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ми товарообігу (ТНК). Ціни за цими поставками на відміну від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звичайних торговельних операцій між незалежними контрагента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ми встановлюються самим суб'єктом, а не внаслідок дії ринкового</w:t>
      </w:r>
      <w:r w:rsidRPr="0090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механізму, отже, мита практично втрачають свій регулюючий вплив. 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Складність і численність інструментів державного регулювання міжнародної торгівлі послугами пояснюється тим, що торгівля по­слугами, як правило, супроводжує або торгівлю товарами або рух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188">
        <w:rPr>
          <w:rFonts w:ascii="Times New Roman" w:hAnsi="Times New Roman" w:cs="Times New Roman"/>
          <w:sz w:val="28"/>
          <w:szCs w:val="28"/>
          <w:lang w:val="uk-UA"/>
        </w:rPr>
        <w:t>капіталу.                                                                                            Будь-яка зовнішньоторговельна угода з купівлі-продажу товарів не може бути здійснена без міжнародної купівлі-продажу послуг, передусім транспортних, фінансових, страхових (зокрема транспорт­но-експедиторські операції, обслуговування суден в іноземних пор­тах, здійснення міжнародних розрахунків, міжнародне кредитуван­ня тощо). Крім того, традицій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зовнішньоторговельні операції </w:t>
      </w:r>
      <w:r w:rsidRPr="00904188">
        <w:rPr>
          <w:rFonts w:ascii="Times New Roman" w:hAnsi="Times New Roman" w:cs="Times New Roman"/>
          <w:sz w:val="28"/>
          <w:szCs w:val="28"/>
          <w:lang w:val="uk-UA"/>
        </w:rPr>
        <w:t xml:space="preserve"> можуть здійснюватись без міжнародного обміну послугами у сфер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Pr="00904188">
        <w:rPr>
          <w:rFonts w:ascii="Times New Roman" w:hAnsi="Times New Roman" w:cs="Times New Roman"/>
          <w:sz w:val="28"/>
          <w:szCs w:val="28"/>
          <w:lang w:val="uk-UA"/>
        </w:rPr>
        <w:t>язку, ділових поїздок, реклами, юридичних послуг, консалтингу, оподаткування, аудиту та Інших видів послуг.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Таким чином, ця сфера міжнародних економічних відносин ре­гулюється інструментами зовнішньоторговельної політики, які ви­користовуються у сфері міжнародної торгівлі товарами та міжна­родного руху капіталу.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А. Кірєев пропонує класифікувати інстру</w:t>
      </w:r>
      <w:r>
        <w:rPr>
          <w:rFonts w:ascii="Times New Roman" w:hAnsi="Times New Roman" w:cs="Times New Roman"/>
          <w:sz w:val="28"/>
          <w:szCs w:val="28"/>
          <w:lang w:val="uk-UA"/>
        </w:rPr>
        <w:t>менти торгової політи</w:t>
      </w:r>
      <w:r w:rsidRPr="00904188">
        <w:rPr>
          <w:rFonts w:ascii="Times New Roman" w:hAnsi="Times New Roman" w:cs="Times New Roman"/>
          <w:sz w:val="28"/>
          <w:szCs w:val="28"/>
          <w:lang w:val="uk-UA"/>
        </w:rPr>
        <w:t>ки у сфері торгівлі послугами, розділивши їх на дві групи.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1. Заходи регулювання дост</w:t>
      </w:r>
      <w:r w:rsidR="00BD7810">
        <w:rPr>
          <w:rFonts w:ascii="Times New Roman" w:hAnsi="Times New Roman" w:cs="Times New Roman"/>
          <w:sz w:val="28"/>
          <w:szCs w:val="28"/>
          <w:lang w:val="uk-UA"/>
        </w:rPr>
        <w:t>упу на ринок — включають Інстру</w:t>
      </w:r>
      <w:r w:rsidRPr="00904188">
        <w:rPr>
          <w:rFonts w:ascii="Times New Roman" w:hAnsi="Times New Roman" w:cs="Times New Roman"/>
          <w:sz w:val="28"/>
          <w:szCs w:val="28"/>
          <w:lang w:val="uk-UA"/>
        </w:rPr>
        <w:t xml:space="preserve">менти торгової політики, які </w:t>
      </w:r>
      <w:r w:rsidR="00BD7810">
        <w:rPr>
          <w:rFonts w:ascii="Times New Roman" w:hAnsi="Times New Roman" w:cs="Times New Roman"/>
          <w:sz w:val="28"/>
          <w:szCs w:val="28"/>
          <w:lang w:val="uk-UA"/>
        </w:rPr>
        <w:t>обмежують чи забороняють інозем</w:t>
      </w:r>
      <w:r w:rsidRPr="00904188">
        <w:rPr>
          <w:rFonts w:ascii="Times New Roman" w:hAnsi="Times New Roman" w:cs="Times New Roman"/>
          <w:sz w:val="28"/>
          <w:szCs w:val="28"/>
          <w:lang w:val="uk-UA"/>
        </w:rPr>
        <w:t>ним фірмам — виробникам послуг оперувати на місцевому ринку.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 xml:space="preserve">До цих заходів, які в основному </w:t>
      </w:r>
      <w:r w:rsidR="00BD7810">
        <w:rPr>
          <w:rFonts w:ascii="Times New Roman" w:hAnsi="Times New Roman" w:cs="Times New Roman"/>
          <w:sz w:val="28"/>
          <w:szCs w:val="28"/>
          <w:lang w:val="uk-UA"/>
        </w:rPr>
        <w:t>набувають форми кількісних обме</w:t>
      </w:r>
      <w:r w:rsidRPr="00904188">
        <w:rPr>
          <w:rFonts w:ascii="Times New Roman" w:hAnsi="Times New Roman" w:cs="Times New Roman"/>
          <w:sz w:val="28"/>
          <w:szCs w:val="28"/>
          <w:lang w:val="uk-UA"/>
        </w:rPr>
        <w:t>жень, належать: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обмеження на торгівлю послугами. Наприклад, вимога про те,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щоб всі імпортні вантажі страхувались лише місцевими страховими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компаніями;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б) введення кількісних квот на імпорт іноземних послуг. На­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приклад, встановлення кількості іноземних фільмів, які можуть бути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закуплені та показані на національних каналах телебачення про­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тягом певного періоду часу;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в) обмеження на створення на внутрішньому ринку філій іно­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земних компаній, що надають послуги. Наприклад, заборона на за­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конодавчому рівні створення філій банків, страхових, туристичних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іноземних компаній або встановлення переліку послуг, які вони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можуть надавати місцевим покупцям;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г) обмеження на пересування виробників послуг у формі дер­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жавного ліцензування імпорту робочої сили. Наприклад, обов'яз­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кове ліцензування та тестування у багатьох країнах іноземних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лікарів, ветеринарів та юристів до того, як вони отримають дозвіл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займатись лікарською, ветеринарською та юридичною практикою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відповідно;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д) обмеження на пересування споживачів послуг. Наприклад,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лімітування кількості в'їзних віз, які можуть видаватись протягом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обмеженого часу.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2. Заходи вилучення із національного режиму — включають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інструменти внутрішньої економічної політики, які дискриміну­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ють на внутрішньому ринку іноземних виробників послуг порівня­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но з місцевими. До цих заходів відносять: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а) надання цінових переваг місцевим виробникам. Наприклад,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прямі цінові субсидії з державного бюджету місцевим виробни­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кам послуг — страховим, туристичним та іншим компаніям;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б)  створення місцевим виробникам більш сприятливих умов,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іж іноземним. Наприклад, іноземні авіаперевізники можуть не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lastRenderedPageBreak/>
        <w:t>отримати доступу до національної системи резервування авіаквитків або до кращих аеропортів країни.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З початку 80-х років постійно постає питання про необхідність лібералізації міжнародної торгівлі послугами. Зусилля з лібералі­зації торгівлі послугами здійснюються на рівні міжнародних органі­зацій, в рамках окремих галузей на двосторонньому рівні.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 xml:space="preserve">На Уругвайському раунді (1986—1994 pp., у м. Пунта-дель-Есте, Уругвай) в рамках ГАТТ/ВТО почались переговори з лібералізації торгівлі послугами. Значення досягнення угоди з цієї проблеми визначалось тим, що у середньому на послуги припадало не менше 20 % вартості світової торгівлі (1992 p.). Наприклад, торгівля по­слугами у США становила 118 млрд ЕКЮ, у країнах ЄС — 70 млрд, в Японії — 29 млрд. Бралися до уваги такі послуги, як зв'язок, програмне забезпечення, ремонт та </w:t>
      </w:r>
      <w:r w:rsidR="00BD7810">
        <w:rPr>
          <w:rFonts w:ascii="Times New Roman" w:hAnsi="Times New Roman" w:cs="Times New Roman"/>
          <w:sz w:val="28"/>
          <w:szCs w:val="28"/>
          <w:lang w:val="uk-UA"/>
        </w:rPr>
        <w:t>обслуговування ЕОМ, лізинг, юри</w:t>
      </w:r>
      <w:r w:rsidRPr="00904188">
        <w:rPr>
          <w:rFonts w:ascii="Times New Roman" w:hAnsi="Times New Roman" w:cs="Times New Roman"/>
          <w:sz w:val="28"/>
          <w:szCs w:val="28"/>
          <w:lang w:val="uk-UA"/>
        </w:rPr>
        <w:t>дичне, збутове та фінансове обслуговування.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На переговорах серед ПРК не було єдності: окремі держави на­магалися захищати ті сфери, де їх позиції були особливо сильні. Наприклад, проти лібералізації транспортних послуг, за яку висту­пали багато країн ЄС, були США та Франція, судновласники яких перебували під надійним захистом національного законодавства. Прагненню США лібералізувати ринок кінопродукції, використо­вуючи могутність та вплив Голівуду, протистояла Франція, яка за­хищала специфіку національного кіноринку.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Не всі питання були розв'язані і всередині самих ПРК. Наприк­лад, у сфері фінансів, банківської справи, страхування тощо просу­вання вперед гальмувалось децентралізацією у США законів віднос­но окремих видів послуг в окремих штатах.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t>Проте, під час переговорів з послуг США та Японії, які виступали за максимальну лібералізацією цієї сфери, протистояли СРКГ які бачили загрозу своїм інтересам з боку потужних конкурентів.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188">
        <w:rPr>
          <w:rFonts w:ascii="Times New Roman" w:hAnsi="Times New Roman" w:cs="Times New Roman"/>
          <w:sz w:val="28"/>
          <w:szCs w:val="28"/>
          <w:lang w:val="uk-UA"/>
        </w:rPr>
        <w:lastRenderedPageBreak/>
        <w:t>В рамках ЄС поступово усувались обмеження свободи надання послуг через кордони. Рада Міністрів ЄС видала директиву про свободу надання послуг агентами туристичних бюро, організаторами туристичних поїздок, авіаброкерам</w:t>
      </w:r>
      <w:r>
        <w:rPr>
          <w:rFonts w:ascii="Times New Roman" w:hAnsi="Times New Roman" w:cs="Times New Roman"/>
          <w:sz w:val="28"/>
          <w:szCs w:val="28"/>
          <w:lang w:val="uk-UA"/>
        </w:rPr>
        <w:t>и, експедиторами, судновими бро</w:t>
      </w:r>
      <w:r w:rsidRPr="00904188">
        <w:rPr>
          <w:rFonts w:ascii="Times New Roman" w:hAnsi="Times New Roman" w:cs="Times New Roman"/>
          <w:sz w:val="28"/>
          <w:szCs w:val="28"/>
          <w:lang w:val="uk-UA"/>
        </w:rPr>
        <w:t>керами, агентами з авіаперевезень, перукарями. Це питання легко було розв'язано щодо медичної та тих професій, в яких дипломи та інші свідоцтва про кваліфікацію означають однакову компетенцію для власників однієї і тієї ж професії. Але потрібно було 17 років, щоб розробити директиву про вільне переміщення ветеринарів.</w:t>
      </w: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188" w:rsidRPr="00904188" w:rsidRDefault="00904188" w:rsidP="0090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4188" w:rsidRPr="0090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88"/>
    <w:rsid w:val="00086AE5"/>
    <w:rsid w:val="000C1930"/>
    <w:rsid w:val="00904188"/>
    <w:rsid w:val="00B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04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0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2023-03-14T15:46:00Z</dcterms:created>
  <dcterms:modified xsi:type="dcterms:W3CDTF">2023-03-14T16:01:00Z</dcterms:modified>
</cp:coreProperties>
</file>