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DD8" w:rsidRPr="00480DD8" w:rsidRDefault="00480DD8" w:rsidP="00480DD8">
      <w:pPr>
        <w:spacing w:after="0" w:line="100" w:lineRule="atLeast"/>
        <w:jc w:val="center"/>
        <w:rPr>
          <w:rFonts w:ascii="Times New Roman" w:eastAsia="Times New Roman" w:hAnsi="Times New Roman" w:cs="Times New Roman"/>
          <w:b/>
          <w:color w:val="000000"/>
          <w:sz w:val="24"/>
          <w:szCs w:val="20"/>
          <w:lang w:eastAsia="ru-RU"/>
        </w:rPr>
      </w:pPr>
      <w:r w:rsidRPr="00480DD8">
        <w:rPr>
          <w:rFonts w:ascii="Times New Roman" w:eastAsia="Times New Roman" w:hAnsi="Times New Roman" w:cs="Times New Roman"/>
          <w:b/>
          <w:color w:val="000000"/>
          <w:sz w:val="24"/>
          <w:szCs w:val="20"/>
          <w:lang w:eastAsia="ru-RU"/>
        </w:rPr>
        <w:t>РОЗДІЛ 3</w:t>
      </w:r>
    </w:p>
    <w:p w:rsidR="00480DD8" w:rsidRPr="00480DD8" w:rsidRDefault="00480DD8" w:rsidP="00480DD8">
      <w:pPr>
        <w:spacing w:before="240" w:after="0" w:line="240" w:lineRule="auto"/>
        <w:jc w:val="center"/>
        <w:outlineLvl w:val="0"/>
        <w:rPr>
          <w:rFonts w:ascii="Times New Roman" w:eastAsia="Times New Roman" w:hAnsi="Times New Roman" w:cs="Times New Roman"/>
          <w:b/>
          <w:color w:val="000000"/>
          <w:sz w:val="24"/>
          <w:szCs w:val="20"/>
          <w:lang w:eastAsia="ru-RU"/>
        </w:rPr>
      </w:pPr>
      <w:bookmarkStart w:id="0" w:name="_Toc453179310"/>
      <w:r w:rsidRPr="00480DD8">
        <w:rPr>
          <w:rFonts w:ascii="Times New Roman" w:eastAsia="Times New Roman" w:hAnsi="Times New Roman" w:cs="Times New Roman"/>
          <w:b/>
          <w:color w:val="000000"/>
          <w:sz w:val="24"/>
          <w:szCs w:val="20"/>
          <w:lang w:eastAsia="ru-RU"/>
        </w:rPr>
        <w:t>РОЗВИТОК СВІТОВОГО РИНКУ КОНСАЛТИНГОВИХ ПОСЛУГ</w:t>
      </w:r>
      <w:bookmarkEnd w:id="0"/>
    </w:p>
    <w:p w:rsidR="00480DD8" w:rsidRPr="00480DD8" w:rsidRDefault="00480DD8" w:rsidP="00480DD8">
      <w:pPr>
        <w:spacing w:after="0" w:line="240" w:lineRule="auto"/>
        <w:ind w:firstLine="567"/>
        <w:jc w:val="both"/>
        <w:rPr>
          <w:rFonts w:ascii="Times New Roman" w:eastAsia="Times New Roman" w:hAnsi="Times New Roman" w:cs="Times New Roman"/>
          <w:b/>
          <w:color w:val="000000"/>
          <w:sz w:val="24"/>
          <w:szCs w:val="20"/>
          <w:lang w:eastAsia="ru-RU"/>
        </w:rPr>
      </w:pPr>
    </w:p>
    <w:p w:rsidR="00480DD8" w:rsidRPr="00480DD8" w:rsidRDefault="00480DD8" w:rsidP="00480DD8">
      <w:pPr>
        <w:spacing w:after="0" w:line="240" w:lineRule="auto"/>
        <w:ind w:firstLine="567"/>
        <w:jc w:val="both"/>
        <w:rPr>
          <w:rFonts w:ascii="Times New Roman" w:eastAsia="Times New Roman" w:hAnsi="Times New Roman" w:cs="Times New Roman"/>
          <w:i/>
          <w:color w:val="000000"/>
          <w:sz w:val="24"/>
          <w:szCs w:val="20"/>
          <w:lang w:eastAsia="ru-RU"/>
        </w:rPr>
      </w:pPr>
      <w:r w:rsidRPr="00480DD8">
        <w:rPr>
          <w:rFonts w:ascii="Times New Roman" w:eastAsia="Times New Roman" w:hAnsi="Times New Roman" w:cs="Times New Roman"/>
          <w:b/>
          <w:color w:val="000000"/>
          <w:sz w:val="24"/>
          <w:szCs w:val="20"/>
          <w:lang w:eastAsia="ru-RU"/>
        </w:rPr>
        <w:t xml:space="preserve">Мета: </w:t>
      </w:r>
      <w:r w:rsidRPr="00480DD8">
        <w:rPr>
          <w:rFonts w:ascii="Times New Roman" w:eastAsia="Times New Roman" w:hAnsi="Times New Roman" w:cs="Times New Roman"/>
          <w:i/>
          <w:color w:val="000000"/>
          <w:sz w:val="24"/>
          <w:szCs w:val="20"/>
          <w:lang w:eastAsia="ru-RU"/>
        </w:rPr>
        <w:t xml:space="preserve">дослідити тенденції розвитку міжнародного та вітчизняного ринків консультування </w:t>
      </w:r>
    </w:p>
    <w:p w:rsidR="00480DD8" w:rsidRPr="00480DD8" w:rsidRDefault="00480DD8" w:rsidP="00480DD8">
      <w:pPr>
        <w:spacing w:after="0" w:line="240" w:lineRule="auto"/>
        <w:ind w:firstLine="567"/>
        <w:jc w:val="both"/>
        <w:rPr>
          <w:rFonts w:ascii="Times New Roman" w:eastAsia="Times New Roman" w:hAnsi="Times New Roman" w:cs="Times New Roman"/>
          <w:b/>
          <w:color w:val="000000"/>
          <w:sz w:val="24"/>
          <w:szCs w:val="20"/>
          <w:lang w:eastAsia="ru-RU"/>
        </w:rPr>
      </w:pPr>
    </w:p>
    <w:p w:rsidR="00480DD8" w:rsidRPr="00480DD8" w:rsidRDefault="00480DD8" w:rsidP="00480DD8">
      <w:pPr>
        <w:spacing w:after="0" w:line="240" w:lineRule="auto"/>
        <w:ind w:firstLine="567"/>
        <w:jc w:val="both"/>
        <w:rPr>
          <w:rFonts w:ascii="Times New Roman" w:eastAsia="Times New Roman" w:hAnsi="Times New Roman" w:cs="Times New Roman"/>
          <w:b/>
          <w:color w:val="000000"/>
          <w:sz w:val="24"/>
          <w:szCs w:val="20"/>
          <w:lang w:eastAsia="ru-RU"/>
        </w:rPr>
      </w:pPr>
      <w:r w:rsidRPr="00480DD8">
        <w:rPr>
          <w:rFonts w:ascii="Times New Roman" w:eastAsia="Times New Roman" w:hAnsi="Times New Roman" w:cs="Times New Roman"/>
          <w:b/>
          <w:color w:val="000000"/>
          <w:sz w:val="24"/>
          <w:szCs w:val="20"/>
          <w:lang w:eastAsia="ru-RU"/>
        </w:rPr>
        <w:t>Питання для обговорення:</w:t>
      </w:r>
    </w:p>
    <w:p w:rsidR="00480DD8" w:rsidRPr="00480DD8" w:rsidRDefault="00480DD8" w:rsidP="00480DD8">
      <w:pPr>
        <w:tabs>
          <w:tab w:val="left" w:pos="426"/>
        </w:tabs>
        <w:spacing w:after="0" w:line="240" w:lineRule="auto"/>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4"/>
          <w:lang w:eastAsia="ru-RU"/>
        </w:rPr>
        <w:t xml:space="preserve">3.1. </w:t>
      </w:r>
      <w:r w:rsidRPr="00480DD8">
        <w:rPr>
          <w:rFonts w:ascii="Times New Roman" w:eastAsia="Times New Roman" w:hAnsi="Times New Roman" w:cs="Times New Roman"/>
          <w:color w:val="000000"/>
          <w:sz w:val="24"/>
          <w:szCs w:val="20"/>
          <w:lang w:eastAsia="ru-RU"/>
        </w:rPr>
        <w:t>Проблеми розвитку консультування в умовах глобалізації</w:t>
      </w:r>
    </w:p>
    <w:p w:rsidR="00480DD8" w:rsidRPr="00480DD8" w:rsidRDefault="00480DD8" w:rsidP="00480DD8">
      <w:pPr>
        <w:tabs>
          <w:tab w:val="left" w:pos="426"/>
        </w:tabs>
        <w:spacing w:after="0" w:line="240" w:lineRule="auto"/>
        <w:jc w:val="both"/>
        <w:rPr>
          <w:rFonts w:ascii="Times New Roman" w:eastAsia="Times New Roman" w:hAnsi="Times New Roman" w:cs="Times New Roman"/>
          <w:color w:val="000000"/>
          <w:sz w:val="24"/>
          <w:szCs w:val="24"/>
          <w:lang w:eastAsia="ru-RU"/>
        </w:rPr>
      </w:pPr>
      <w:r w:rsidRPr="00480DD8">
        <w:rPr>
          <w:rFonts w:ascii="Times New Roman" w:eastAsia="Times New Roman" w:hAnsi="Times New Roman" w:cs="Times New Roman"/>
          <w:color w:val="000000"/>
          <w:sz w:val="24"/>
          <w:szCs w:val="24"/>
          <w:lang w:eastAsia="ru-RU"/>
        </w:rPr>
        <w:t>3.2. Особливості послуг міжнародного консультування</w:t>
      </w:r>
    </w:p>
    <w:p w:rsidR="00480DD8" w:rsidRPr="00480DD8" w:rsidRDefault="00480DD8" w:rsidP="00480DD8">
      <w:pPr>
        <w:tabs>
          <w:tab w:val="left" w:pos="426"/>
        </w:tabs>
        <w:spacing w:after="0" w:line="240" w:lineRule="auto"/>
        <w:jc w:val="both"/>
        <w:rPr>
          <w:rFonts w:ascii="Times New Roman" w:eastAsia="Times New Roman" w:hAnsi="Times New Roman" w:cs="Times New Roman"/>
          <w:color w:val="000000"/>
          <w:sz w:val="24"/>
          <w:szCs w:val="24"/>
          <w:lang w:eastAsia="ru-RU"/>
        </w:rPr>
      </w:pPr>
      <w:r w:rsidRPr="00480DD8">
        <w:rPr>
          <w:rFonts w:ascii="Times New Roman" w:eastAsia="Times New Roman" w:hAnsi="Times New Roman" w:cs="Times New Roman"/>
          <w:color w:val="000000"/>
          <w:sz w:val="24"/>
          <w:szCs w:val="24"/>
          <w:lang w:eastAsia="ru-RU"/>
        </w:rPr>
        <w:t>3.3. Сучасний світовий ринок консалтингових послуг</w:t>
      </w:r>
    </w:p>
    <w:p w:rsidR="00480DD8" w:rsidRPr="00480DD8" w:rsidRDefault="00480DD8" w:rsidP="00480DD8">
      <w:pPr>
        <w:tabs>
          <w:tab w:val="left" w:pos="426"/>
        </w:tabs>
        <w:spacing w:after="0" w:line="240" w:lineRule="auto"/>
        <w:jc w:val="both"/>
        <w:rPr>
          <w:rFonts w:ascii="Times New Roman" w:eastAsia="Times New Roman" w:hAnsi="Times New Roman" w:cs="Times New Roman"/>
          <w:color w:val="000000"/>
          <w:sz w:val="24"/>
          <w:szCs w:val="24"/>
          <w:lang w:eastAsia="ru-RU"/>
        </w:rPr>
      </w:pPr>
      <w:r w:rsidRPr="00480DD8">
        <w:rPr>
          <w:rFonts w:ascii="Times New Roman" w:eastAsia="Times New Roman" w:hAnsi="Times New Roman" w:cs="Times New Roman"/>
          <w:color w:val="000000"/>
          <w:sz w:val="24"/>
          <w:szCs w:val="24"/>
          <w:lang w:eastAsia="ru-RU"/>
        </w:rPr>
        <w:t>3.4. Становлення консалтингу в Україні</w:t>
      </w:r>
    </w:p>
    <w:p w:rsidR="00480DD8" w:rsidRPr="00480DD8" w:rsidRDefault="00480DD8" w:rsidP="00480DD8">
      <w:pPr>
        <w:spacing w:after="0" w:line="240" w:lineRule="auto"/>
        <w:jc w:val="both"/>
        <w:rPr>
          <w:rFonts w:ascii="Times New Roman" w:eastAsia="Times New Roman" w:hAnsi="Times New Roman" w:cs="Times New Roman"/>
          <w:color w:val="000000"/>
          <w:sz w:val="24"/>
          <w:szCs w:val="24"/>
          <w:lang w:eastAsia="ru-RU"/>
        </w:rPr>
      </w:pPr>
    </w:p>
    <w:p w:rsidR="00480DD8" w:rsidRPr="00480DD8" w:rsidRDefault="00480DD8" w:rsidP="00480DD8">
      <w:pPr>
        <w:spacing w:after="0" w:line="240" w:lineRule="auto"/>
        <w:ind w:firstLine="284"/>
        <w:jc w:val="center"/>
        <w:rPr>
          <w:rFonts w:ascii="Times New Roman" w:eastAsia="Times New Roman" w:hAnsi="Times New Roman" w:cs="Times New Roman"/>
          <w:b/>
          <w:color w:val="000000"/>
          <w:sz w:val="24"/>
          <w:szCs w:val="20"/>
          <w:lang w:eastAsia="ru-RU"/>
        </w:rPr>
      </w:pPr>
      <w:r w:rsidRPr="00480DD8">
        <w:rPr>
          <w:rFonts w:ascii="Times New Roman" w:eastAsia="Times New Roman" w:hAnsi="Times New Roman" w:cs="Times New Roman"/>
          <w:b/>
          <w:color w:val="000000"/>
          <w:sz w:val="24"/>
          <w:szCs w:val="20"/>
          <w:lang w:eastAsia="ru-RU"/>
        </w:rPr>
        <w:t>Ключові поняття:</w:t>
      </w:r>
    </w:p>
    <w:tbl>
      <w:tblPr>
        <w:tblW w:w="6521"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10" w:type="dxa"/>
          <w:right w:w="10" w:type="dxa"/>
        </w:tblCellMar>
        <w:tblLook w:val="04A0" w:firstRow="1" w:lastRow="0" w:firstColumn="1" w:lastColumn="0" w:noHBand="0" w:noVBand="1"/>
      </w:tblPr>
      <w:tblGrid>
        <w:gridCol w:w="2782"/>
        <w:gridCol w:w="3739"/>
      </w:tblGrid>
      <w:tr w:rsidR="00480DD8" w:rsidRPr="00480DD8" w:rsidTr="00331F77">
        <w:tc>
          <w:tcPr>
            <w:tcW w:w="2782" w:type="dxa"/>
          </w:tcPr>
          <w:p w:rsidR="00480DD8" w:rsidRPr="00480DD8" w:rsidRDefault="00480DD8" w:rsidP="00480DD8">
            <w:pPr>
              <w:numPr>
                <w:ilvl w:val="0"/>
                <w:numId w:val="3"/>
              </w:numPr>
              <w:spacing w:after="0" w:line="240" w:lineRule="auto"/>
              <w:ind w:left="318" w:hanging="426"/>
              <w:rPr>
                <w:rFonts w:ascii="Times New Roman" w:eastAsia="Times New Roman" w:hAnsi="Times New Roman" w:cs="Times New Roman"/>
                <w:b/>
                <w:i/>
                <w:color w:val="000000"/>
                <w:sz w:val="24"/>
                <w:szCs w:val="20"/>
                <w:lang w:eastAsia="ru-RU"/>
              </w:rPr>
            </w:pPr>
            <w:proofErr w:type="spellStart"/>
            <w:r w:rsidRPr="00480DD8">
              <w:rPr>
                <w:rFonts w:ascii="Times New Roman" w:eastAsia="Times New Roman" w:hAnsi="Times New Roman" w:cs="Times New Roman"/>
                <w:b/>
                <w:i/>
                <w:color w:val="000000"/>
                <w:sz w:val="24"/>
                <w:szCs w:val="20"/>
                <w:lang w:eastAsia="ru-RU"/>
              </w:rPr>
              <w:t>Інституціоналізація</w:t>
            </w:r>
            <w:proofErr w:type="spellEnd"/>
          </w:p>
          <w:p w:rsidR="00480DD8" w:rsidRPr="00480DD8" w:rsidRDefault="00480DD8" w:rsidP="00480DD8">
            <w:pPr>
              <w:numPr>
                <w:ilvl w:val="0"/>
                <w:numId w:val="3"/>
              </w:numPr>
              <w:spacing w:after="0" w:line="240" w:lineRule="auto"/>
              <w:ind w:left="318" w:hanging="426"/>
              <w:rPr>
                <w:rFonts w:ascii="Times New Roman" w:eastAsia="Times New Roman" w:hAnsi="Times New Roman" w:cs="Times New Roman"/>
                <w:b/>
                <w:i/>
                <w:color w:val="000000"/>
                <w:sz w:val="24"/>
                <w:szCs w:val="20"/>
                <w:lang w:eastAsia="ru-RU"/>
              </w:rPr>
            </w:pPr>
            <w:proofErr w:type="spellStart"/>
            <w:r w:rsidRPr="00480DD8">
              <w:rPr>
                <w:rFonts w:ascii="Times New Roman" w:eastAsia="Times New Roman" w:hAnsi="Times New Roman" w:cs="Times New Roman"/>
                <w:b/>
                <w:i/>
                <w:color w:val="000000"/>
                <w:sz w:val="24"/>
                <w:szCs w:val="20"/>
                <w:lang w:eastAsia="ru-RU"/>
              </w:rPr>
              <w:t>Транснаціоналізація</w:t>
            </w:r>
            <w:proofErr w:type="spellEnd"/>
          </w:p>
          <w:p w:rsidR="00480DD8" w:rsidRPr="00480DD8" w:rsidRDefault="00480DD8" w:rsidP="00480DD8">
            <w:pPr>
              <w:numPr>
                <w:ilvl w:val="0"/>
                <w:numId w:val="3"/>
              </w:numPr>
              <w:spacing w:after="0" w:line="240" w:lineRule="auto"/>
              <w:ind w:left="318" w:hanging="426"/>
              <w:rPr>
                <w:rFonts w:ascii="Times New Roman" w:eastAsia="Times New Roman" w:hAnsi="Times New Roman" w:cs="Times New Roman"/>
                <w:b/>
                <w:i/>
                <w:color w:val="000000"/>
                <w:sz w:val="24"/>
                <w:szCs w:val="20"/>
                <w:lang w:eastAsia="ru-RU"/>
              </w:rPr>
            </w:pPr>
            <w:r w:rsidRPr="00480DD8">
              <w:rPr>
                <w:rFonts w:ascii="Times New Roman" w:eastAsia="Times New Roman" w:hAnsi="Times New Roman" w:cs="Times New Roman"/>
                <w:b/>
                <w:i/>
                <w:color w:val="000000"/>
                <w:sz w:val="24"/>
                <w:szCs w:val="20"/>
                <w:lang w:eastAsia="ru-RU"/>
              </w:rPr>
              <w:t>Універсалізація</w:t>
            </w:r>
          </w:p>
          <w:p w:rsidR="00480DD8" w:rsidRPr="00480DD8" w:rsidRDefault="00480DD8" w:rsidP="00480DD8">
            <w:pPr>
              <w:numPr>
                <w:ilvl w:val="0"/>
                <w:numId w:val="3"/>
              </w:numPr>
              <w:spacing w:after="0" w:line="240" w:lineRule="auto"/>
              <w:ind w:left="318" w:hanging="426"/>
              <w:rPr>
                <w:rFonts w:ascii="Times New Roman" w:eastAsia="Times New Roman" w:hAnsi="Times New Roman" w:cs="Times New Roman"/>
                <w:b/>
                <w:i/>
                <w:color w:val="000000"/>
                <w:sz w:val="24"/>
                <w:szCs w:val="20"/>
                <w:lang w:eastAsia="ru-RU"/>
              </w:rPr>
            </w:pPr>
            <w:proofErr w:type="spellStart"/>
            <w:r w:rsidRPr="00480DD8">
              <w:rPr>
                <w:rFonts w:ascii="Times New Roman" w:eastAsia="Times New Roman" w:hAnsi="Times New Roman" w:cs="Times New Roman"/>
                <w:b/>
                <w:i/>
                <w:color w:val="000000"/>
                <w:sz w:val="24"/>
                <w:szCs w:val="20"/>
                <w:lang w:eastAsia="ru-RU"/>
              </w:rPr>
              <w:t>Інституціоналізація</w:t>
            </w:r>
            <w:proofErr w:type="spellEnd"/>
          </w:p>
          <w:p w:rsidR="00480DD8" w:rsidRPr="00480DD8" w:rsidRDefault="00480DD8" w:rsidP="00480DD8">
            <w:pPr>
              <w:numPr>
                <w:ilvl w:val="0"/>
                <w:numId w:val="3"/>
              </w:numPr>
              <w:spacing w:after="0" w:line="240" w:lineRule="auto"/>
              <w:ind w:left="318" w:hanging="426"/>
              <w:rPr>
                <w:rFonts w:ascii="Times New Roman" w:eastAsia="Times New Roman" w:hAnsi="Times New Roman" w:cs="Times New Roman"/>
                <w:b/>
                <w:i/>
                <w:color w:val="000000"/>
                <w:sz w:val="24"/>
                <w:szCs w:val="20"/>
                <w:lang w:eastAsia="ru-RU"/>
              </w:rPr>
            </w:pPr>
            <w:r w:rsidRPr="00480DD8">
              <w:rPr>
                <w:rFonts w:ascii="Times New Roman" w:eastAsia="Times New Roman" w:hAnsi="Times New Roman" w:cs="Times New Roman"/>
                <w:b/>
                <w:i/>
                <w:color w:val="000000"/>
                <w:sz w:val="24"/>
                <w:szCs w:val="20"/>
                <w:lang w:eastAsia="ru-RU"/>
              </w:rPr>
              <w:t>Стандартизація</w:t>
            </w:r>
          </w:p>
          <w:p w:rsidR="00480DD8" w:rsidRPr="00480DD8" w:rsidRDefault="00480DD8" w:rsidP="00480DD8">
            <w:pPr>
              <w:spacing w:after="0" w:line="240" w:lineRule="auto"/>
              <w:jc w:val="both"/>
              <w:rPr>
                <w:rFonts w:ascii="Times New Roman" w:eastAsia="Times New Roman" w:hAnsi="Times New Roman" w:cs="Times New Roman"/>
                <w:b/>
                <w:i/>
                <w:color w:val="000000"/>
                <w:sz w:val="24"/>
                <w:szCs w:val="20"/>
                <w:lang w:eastAsia="ru-RU"/>
              </w:rPr>
            </w:pPr>
          </w:p>
        </w:tc>
        <w:tc>
          <w:tcPr>
            <w:tcW w:w="3739" w:type="dxa"/>
          </w:tcPr>
          <w:p w:rsidR="00480DD8" w:rsidRPr="00480DD8" w:rsidRDefault="00480DD8" w:rsidP="00480DD8">
            <w:pPr>
              <w:numPr>
                <w:ilvl w:val="0"/>
                <w:numId w:val="3"/>
              </w:numPr>
              <w:spacing w:after="0" w:line="240" w:lineRule="auto"/>
              <w:ind w:left="229" w:hanging="284"/>
              <w:jc w:val="both"/>
              <w:rPr>
                <w:rFonts w:ascii="Times New Roman" w:eastAsia="Times New Roman" w:hAnsi="Times New Roman" w:cs="Times New Roman"/>
                <w:b/>
                <w:i/>
                <w:color w:val="000000"/>
                <w:sz w:val="24"/>
                <w:szCs w:val="20"/>
                <w:lang w:eastAsia="ru-RU"/>
              </w:rPr>
            </w:pPr>
            <w:r w:rsidRPr="00480DD8">
              <w:rPr>
                <w:rFonts w:ascii="Times New Roman" w:eastAsia="Times New Roman" w:hAnsi="Times New Roman" w:cs="Times New Roman"/>
                <w:b/>
                <w:i/>
                <w:color w:val="000000"/>
                <w:sz w:val="24"/>
                <w:szCs w:val="20"/>
                <w:lang w:eastAsia="ru-RU"/>
              </w:rPr>
              <w:t>Інтелектуальна капіталізація</w:t>
            </w:r>
          </w:p>
          <w:p w:rsidR="00480DD8" w:rsidRPr="00480DD8" w:rsidRDefault="00480DD8" w:rsidP="00480DD8">
            <w:pPr>
              <w:numPr>
                <w:ilvl w:val="0"/>
                <w:numId w:val="3"/>
              </w:numPr>
              <w:spacing w:after="0" w:line="240" w:lineRule="auto"/>
              <w:ind w:left="229" w:hanging="284"/>
              <w:jc w:val="both"/>
              <w:rPr>
                <w:rFonts w:ascii="Times New Roman" w:eastAsia="Times New Roman" w:hAnsi="Times New Roman" w:cs="Times New Roman"/>
                <w:b/>
                <w:i/>
                <w:color w:val="000000"/>
                <w:sz w:val="24"/>
                <w:szCs w:val="20"/>
                <w:lang w:eastAsia="ru-RU"/>
              </w:rPr>
            </w:pPr>
            <w:r w:rsidRPr="00480DD8">
              <w:rPr>
                <w:rFonts w:ascii="Times New Roman" w:eastAsia="Times New Roman" w:hAnsi="Times New Roman" w:cs="Times New Roman"/>
                <w:b/>
                <w:i/>
                <w:color w:val="000000"/>
                <w:sz w:val="24"/>
                <w:szCs w:val="20"/>
                <w:lang w:eastAsia="ru-RU"/>
              </w:rPr>
              <w:t>Еволюція маркетингових технологій</w:t>
            </w:r>
          </w:p>
          <w:p w:rsidR="00480DD8" w:rsidRPr="00480DD8" w:rsidRDefault="00480DD8" w:rsidP="00480DD8">
            <w:pPr>
              <w:numPr>
                <w:ilvl w:val="0"/>
                <w:numId w:val="3"/>
              </w:numPr>
              <w:spacing w:after="0" w:line="240" w:lineRule="auto"/>
              <w:ind w:left="229" w:hanging="284"/>
              <w:jc w:val="both"/>
              <w:rPr>
                <w:rFonts w:ascii="Times New Roman" w:eastAsia="Times New Roman" w:hAnsi="Times New Roman" w:cs="Times New Roman"/>
                <w:b/>
                <w:i/>
                <w:color w:val="000000"/>
                <w:sz w:val="24"/>
                <w:szCs w:val="20"/>
                <w:lang w:eastAsia="ru-RU"/>
              </w:rPr>
            </w:pPr>
            <w:r w:rsidRPr="00480DD8">
              <w:rPr>
                <w:rFonts w:ascii="Times New Roman" w:eastAsia="Times New Roman" w:hAnsi="Times New Roman" w:cs="Times New Roman"/>
                <w:b/>
                <w:i/>
                <w:color w:val="000000"/>
                <w:sz w:val="24"/>
                <w:szCs w:val="20"/>
                <w:lang w:eastAsia="ru-RU"/>
              </w:rPr>
              <w:t>Інтегрований консалтинг</w:t>
            </w:r>
          </w:p>
          <w:p w:rsidR="00480DD8" w:rsidRPr="00480DD8" w:rsidRDefault="00480DD8" w:rsidP="00480DD8">
            <w:pPr>
              <w:numPr>
                <w:ilvl w:val="0"/>
                <w:numId w:val="3"/>
              </w:numPr>
              <w:spacing w:after="0" w:line="240" w:lineRule="auto"/>
              <w:ind w:left="229" w:hanging="284"/>
              <w:jc w:val="both"/>
              <w:rPr>
                <w:rFonts w:ascii="Times New Roman" w:eastAsia="Times New Roman" w:hAnsi="Times New Roman" w:cs="Times New Roman"/>
                <w:b/>
                <w:i/>
                <w:color w:val="000000"/>
                <w:sz w:val="24"/>
                <w:szCs w:val="20"/>
                <w:lang w:eastAsia="ru-RU"/>
              </w:rPr>
            </w:pPr>
            <w:r w:rsidRPr="00480DD8">
              <w:rPr>
                <w:rFonts w:ascii="Times New Roman" w:eastAsia="Times New Roman" w:hAnsi="Times New Roman" w:cs="Times New Roman"/>
                <w:i/>
                <w:color w:val="000000"/>
                <w:sz w:val="24"/>
                <w:szCs w:val="20"/>
                <w:lang w:eastAsia="ru-RU"/>
              </w:rPr>
              <w:t>«</w:t>
            </w:r>
            <w:r w:rsidRPr="00480DD8">
              <w:rPr>
                <w:rFonts w:ascii="Times New Roman" w:eastAsia="Times New Roman" w:hAnsi="Times New Roman" w:cs="Times New Roman"/>
                <w:b/>
                <w:i/>
                <w:color w:val="000000"/>
                <w:sz w:val="24"/>
                <w:szCs w:val="20"/>
                <w:lang w:eastAsia="ru-RU"/>
              </w:rPr>
              <w:t>Велика четвірка</w:t>
            </w:r>
            <w:r w:rsidRPr="00480DD8">
              <w:rPr>
                <w:rFonts w:ascii="Times New Roman" w:eastAsia="Times New Roman" w:hAnsi="Times New Roman" w:cs="Times New Roman"/>
                <w:i/>
                <w:color w:val="000000"/>
                <w:sz w:val="24"/>
                <w:szCs w:val="20"/>
                <w:lang w:eastAsia="ru-RU"/>
              </w:rPr>
              <w:t>»</w:t>
            </w:r>
          </w:p>
          <w:p w:rsidR="00480DD8" w:rsidRPr="00480DD8" w:rsidRDefault="00480DD8" w:rsidP="00480DD8">
            <w:pPr>
              <w:spacing w:after="0" w:line="240" w:lineRule="auto"/>
              <w:jc w:val="both"/>
              <w:rPr>
                <w:rFonts w:ascii="Times New Roman" w:eastAsia="Times New Roman" w:hAnsi="Times New Roman" w:cs="Times New Roman"/>
                <w:b/>
                <w:i/>
                <w:color w:val="000000"/>
                <w:sz w:val="24"/>
                <w:szCs w:val="20"/>
                <w:lang w:eastAsia="ru-RU"/>
              </w:rPr>
            </w:pPr>
          </w:p>
        </w:tc>
      </w:tr>
    </w:tbl>
    <w:p w:rsidR="00480DD8" w:rsidRPr="00480DD8" w:rsidRDefault="00480DD8" w:rsidP="00480DD8">
      <w:pPr>
        <w:spacing w:after="0" w:line="240" w:lineRule="auto"/>
        <w:jc w:val="both"/>
        <w:rPr>
          <w:rFonts w:ascii="Times New Roman" w:eastAsia="Times New Roman" w:hAnsi="Times New Roman" w:cs="Times New Roman"/>
          <w:color w:val="000000"/>
          <w:sz w:val="24"/>
          <w:szCs w:val="24"/>
          <w:lang w:eastAsia="ru-RU"/>
        </w:rPr>
      </w:pPr>
    </w:p>
    <w:p w:rsidR="00480DD8" w:rsidRPr="00480DD8" w:rsidRDefault="00480DD8" w:rsidP="00480DD8">
      <w:pPr>
        <w:spacing w:after="0" w:line="240" w:lineRule="auto"/>
        <w:jc w:val="center"/>
        <w:rPr>
          <w:rFonts w:ascii="Times New Roman" w:eastAsia="Times New Roman" w:hAnsi="Times New Roman" w:cs="Times New Roman"/>
          <w:b/>
          <w:color w:val="000000"/>
          <w:sz w:val="24"/>
          <w:szCs w:val="20"/>
          <w:lang w:eastAsia="ru-RU"/>
        </w:rPr>
      </w:pPr>
      <w:r w:rsidRPr="00480DD8">
        <w:rPr>
          <w:rFonts w:ascii="Times New Roman" w:eastAsia="Times New Roman" w:hAnsi="Times New Roman" w:cs="Times New Roman"/>
          <w:b/>
          <w:noProof/>
          <w:color w:val="000000"/>
          <w:sz w:val="24"/>
          <w:szCs w:val="20"/>
          <w:lang w:eastAsia="uk-UA"/>
        </w:rPr>
        <w:drawing>
          <wp:inline distT="0" distB="0" distL="0" distR="0" wp14:anchorId="4456332D" wp14:editId="39F62B40">
            <wp:extent cx="2990850" cy="1905000"/>
            <wp:effectExtent l="0" t="0" r="0" b="0"/>
            <wp:docPr id="5" name="pi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0850" cy="1905000"/>
                    </a:xfrm>
                    <a:prstGeom prst="rect">
                      <a:avLst/>
                    </a:prstGeom>
                    <a:noFill/>
                    <a:ln>
                      <a:noFill/>
                    </a:ln>
                  </pic:spPr>
                </pic:pic>
              </a:graphicData>
            </a:graphic>
          </wp:inline>
        </w:drawing>
      </w:r>
    </w:p>
    <w:p w:rsidR="00480DD8" w:rsidRPr="00480DD8" w:rsidRDefault="00480DD8" w:rsidP="00480DD8">
      <w:pPr>
        <w:keepNext/>
        <w:keepLines/>
        <w:spacing w:before="200" w:after="0" w:line="240" w:lineRule="auto"/>
        <w:ind w:firstLine="709"/>
        <w:jc w:val="both"/>
        <w:outlineLvl w:val="1"/>
        <w:rPr>
          <w:rFonts w:ascii="Times New Roman" w:eastAsia="Times New Roman" w:hAnsi="Times New Roman" w:cs="Times New Roman"/>
          <w:bCs/>
          <w:color w:val="000000"/>
          <w:sz w:val="24"/>
          <w:szCs w:val="26"/>
          <w:lang w:eastAsia="ru-RU"/>
        </w:rPr>
      </w:pPr>
      <w:bookmarkStart w:id="1" w:name="_Toc453179311"/>
      <w:r w:rsidRPr="00480DD8">
        <w:rPr>
          <w:rFonts w:ascii="Times New Roman" w:eastAsia="Times New Roman" w:hAnsi="Times New Roman" w:cs="Times New Roman"/>
          <w:b/>
          <w:bCs/>
          <w:color w:val="000000"/>
          <w:sz w:val="24"/>
          <w:szCs w:val="26"/>
          <w:lang w:eastAsia="ru-RU"/>
        </w:rPr>
        <w:t>3.1.</w:t>
      </w:r>
      <w:r w:rsidRPr="00480DD8">
        <w:rPr>
          <w:rFonts w:ascii="Times New Roman" w:eastAsia="Times New Roman" w:hAnsi="Times New Roman" w:cs="Times New Roman"/>
          <w:bCs/>
          <w:color w:val="000000"/>
          <w:sz w:val="24"/>
          <w:szCs w:val="26"/>
          <w:lang w:eastAsia="ru-RU"/>
        </w:rPr>
        <w:t xml:space="preserve"> </w:t>
      </w:r>
      <w:r w:rsidRPr="00480DD8">
        <w:rPr>
          <w:rFonts w:ascii="Times New Roman" w:eastAsia="Times New Roman" w:hAnsi="Times New Roman" w:cs="Times New Roman"/>
          <w:b/>
          <w:bCs/>
          <w:color w:val="000000"/>
          <w:sz w:val="24"/>
          <w:szCs w:val="26"/>
          <w:lang w:eastAsia="ru-RU"/>
        </w:rPr>
        <w:t>Проблеми розвитку консультування в умовах глобалізації</w:t>
      </w:r>
      <w:bookmarkEnd w:id="1"/>
    </w:p>
    <w:p w:rsidR="00480DD8" w:rsidRPr="00480DD8" w:rsidRDefault="00480DD8" w:rsidP="00480DD8">
      <w:pPr>
        <w:spacing w:after="0" w:line="240" w:lineRule="auto"/>
        <w:ind w:firstLine="284"/>
        <w:jc w:val="both"/>
        <w:rPr>
          <w:rFonts w:ascii="Times New Roman" w:eastAsia="Times New Roman" w:hAnsi="Times New Roman" w:cs="Times New Roman"/>
          <w:b/>
          <w:color w:val="000000"/>
          <w:sz w:val="24"/>
          <w:szCs w:val="20"/>
          <w:lang w:eastAsia="ru-RU"/>
        </w:rPr>
      </w:pPr>
    </w:p>
    <w:p w:rsidR="00480DD8" w:rsidRPr="00480DD8" w:rsidRDefault="00480DD8" w:rsidP="00480DD8">
      <w:pPr>
        <w:spacing w:after="0" w:line="240" w:lineRule="auto"/>
        <w:ind w:firstLine="284"/>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ab/>
        <w:t xml:space="preserve">Суть процесу </w:t>
      </w:r>
      <w:r w:rsidRPr="00480DD8">
        <w:rPr>
          <w:rFonts w:ascii="Times New Roman" w:eastAsia="Times New Roman" w:hAnsi="Times New Roman" w:cs="Times New Roman"/>
          <w:b/>
          <w:color w:val="000000"/>
          <w:sz w:val="24"/>
          <w:szCs w:val="20"/>
          <w:lang w:eastAsia="ru-RU"/>
        </w:rPr>
        <w:t xml:space="preserve">глобалізації </w:t>
      </w:r>
      <w:r w:rsidRPr="00480DD8">
        <w:rPr>
          <w:rFonts w:ascii="Times New Roman" w:eastAsia="Times New Roman" w:hAnsi="Times New Roman" w:cs="Times New Roman"/>
          <w:color w:val="000000"/>
          <w:sz w:val="24"/>
          <w:szCs w:val="20"/>
          <w:lang w:eastAsia="ru-RU"/>
        </w:rPr>
        <w:t xml:space="preserve">світової економіки проявляється у стрімкому збільшенні кількості та форм світових </w:t>
      </w:r>
      <w:proofErr w:type="spellStart"/>
      <w:r w:rsidRPr="00480DD8">
        <w:rPr>
          <w:rFonts w:ascii="Times New Roman" w:eastAsia="Times New Roman" w:hAnsi="Times New Roman" w:cs="Times New Roman"/>
          <w:color w:val="000000"/>
          <w:sz w:val="24"/>
          <w:szCs w:val="20"/>
          <w:lang w:eastAsia="ru-RU"/>
        </w:rPr>
        <w:t>зв’язків</w:t>
      </w:r>
      <w:proofErr w:type="spellEnd"/>
      <w:r w:rsidRPr="00480DD8">
        <w:rPr>
          <w:rFonts w:ascii="Times New Roman" w:eastAsia="Times New Roman" w:hAnsi="Times New Roman" w:cs="Times New Roman"/>
          <w:color w:val="000000"/>
          <w:sz w:val="24"/>
          <w:szCs w:val="20"/>
          <w:lang w:eastAsia="ru-RU"/>
        </w:rPr>
        <w:t>, поширенні процесів, практик і структур від національного простору до глобальних масштабів. Посилюється економічна взаємозалежність країн, а також формується відносно цілісна економічна система, що практично охоплює територію всієї планети і диктує власні правила гри національним господарствам.</w:t>
      </w:r>
    </w:p>
    <w:p w:rsidR="00480DD8" w:rsidRPr="00480DD8" w:rsidRDefault="00480DD8" w:rsidP="00480DD8">
      <w:pPr>
        <w:spacing w:after="0" w:line="240" w:lineRule="auto"/>
        <w:ind w:firstLine="284"/>
        <w:jc w:val="both"/>
        <w:rPr>
          <w:rFonts w:ascii="Times New Roman" w:eastAsia="Times New Roman" w:hAnsi="Times New Roman" w:cs="Times New Roman"/>
          <w:color w:val="000000"/>
          <w:sz w:val="24"/>
          <w:szCs w:val="20"/>
          <w:shd w:val="clear" w:color="auto" w:fill="FFFFFF"/>
          <w:lang w:eastAsia="ru-RU"/>
        </w:rPr>
      </w:pPr>
      <w:r w:rsidRPr="00480DD8">
        <w:rPr>
          <w:rFonts w:ascii="Times New Roman" w:eastAsia="Times New Roman" w:hAnsi="Times New Roman" w:cs="Times New Roman"/>
          <w:color w:val="000000"/>
          <w:sz w:val="24"/>
          <w:szCs w:val="20"/>
          <w:shd w:val="clear" w:color="auto" w:fill="FFFFFF"/>
          <w:lang w:eastAsia="ru-RU"/>
        </w:rPr>
        <w:tab/>
        <w:t>На сучасному етапі світогосподарського розвитку відбувається становлення інформаційної (електронної, цифрової або нової) економіки, яка, на відміну від індустріальної епохи, характеризується пріоритетною роллю знань, перевагою інтелектуальної складової у формуванні доданої вартості. Тому залучення такого інтелектуального ресурсу як консультування стає об'єктивною необхідністю для забезпечення довгострокового стратегічного розвитку сучасного підприємства.</w:t>
      </w:r>
    </w:p>
    <w:p w:rsidR="00480DD8" w:rsidRPr="00480DD8" w:rsidRDefault="00480DD8" w:rsidP="00480DD8">
      <w:pPr>
        <w:spacing w:after="0" w:line="240" w:lineRule="auto"/>
        <w:ind w:firstLine="284"/>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ab/>
        <w:t xml:space="preserve">Мають </w:t>
      </w:r>
      <w:r w:rsidRPr="00480DD8">
        <w:rPr>
          <w:rFonts w:ascii="Times New Roman" w:eastAsia="Times New Roman" w:hAnsi="Times New Roman" w:cs="Times New Roman"/>
          <w:color w:val="000000"/>
          <w:sz w:val="24"/>
          <w:szCs w:val="20"/>
          <w:highlight w:val="green"/>
          <w:lang w:eastAsia="ru-RU"/>
        </w:rPr>
        <w:t>місце такі тенденції розвитку консультування в умовах глобалізації:</w:t>
      </w:r>
      <w:r w:rsidRPr="00480DD8">
        <w:rPr>
          <w:rFonts w:ascii="Times New Roman" w:eastAsia="Times New Roman" w:hAnsi="Times New Roman" w:cs="Times New Roman"/>
          <w:color w:val="000000"/>
          <w:sz w:val="24"/>
          <w:szCs w:val="20"/>
          <w:lang w:eastAsia="ru-RU"/>
        </w:rPr>
        <w:t xml:space="preserve"> </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proofErr w:type="spellStart"/>
      <w:r w:rsidRPr="00480DD8">
        <w:rPr>
          <w:rFonts w:ascii="Times New Roman" w:eastAsia="Times New Roman" w:hAnsi="Times New Roman" w:cs="Times New Roman"/>
          <w:b/>
          <w:i/>
          <w:color w:val="000000"/>
          <w:sz w:val="24"/>
          <w:szCs w:val="20"/>
          <w:lang w:eastAsia="ru-RU"/>
        </w:rPr>
        <w:t>Інституціоналізація</w:t>
      </w:r>
      <w:proofErr w:type="spellEnd"/>
      <w:r w:rsidRPr="00480DD8">
        <w:rPr>
          <w:rFonts w:ascii="Times New Roman" w:eastAsia="Times New Roman" w:hAnsi="Times New Roman" w:cs="Times New Roman"/>
          <w:b/>
          <w:i/>
          <w:color w:val="000000"/>
          <w:sz w:val="24"/>
          <w:szCs w:val="20"/>
          <w:lang w:eastAsia="ru-RU"/>
        </w:rPr>
        <w:t>.</w:t>
      </w:r>
      <w:r w:rsidRPr="00480DD8">
        <w:rPr>
          <w:rFonts w:ascii="Times New Roman" w:eastAsia="Times New Roman" w:hAnsi="Times New Roman" w:cs="Times New Roman"/>
          <w:i/>
          <w:color w:val="000000"/>
          <w:sz w:val="24"/>
          <w:szCs w:val="20"/>
          <w:lang w:eastAsia="ru-RU"/>
        </w:rPr>
        <w:t xml:space="preserve"> </w:t>
      </w:r>
      <w:r w:rsidRPr="00480DD8">
        <w:rPr>
          <w:rFonts w:ascii="Times New Roman" w:eastAsia="Times New Roman" w:hAnsi="Times New Roman" w:cs="Times New Roman"/>
          <w:color w:val="000000"/>
          <w:sz w:val="24"/>
          <w:szCs w:val="20"/>
          <w:lang w:eastAsia="ru-RU"/>
        </w:rPr>
        <w:t xml:space="preserve">Зі становленням глобального ринку консалтингових послуг виникла об'єктивна необхідність в </w:t>
      </w:r>
      <w:r w:rsidRPr="00480DD8">
        <w:rPr>
          <w:rFonts w:ascii="Times New Roman" w:eastAsia="Times New Roman" w:hAnsi="Times New Roman" w:cs="Times New Roman"/>
          <w:i/>
          <w:color w:val="000000"/>
          <w:sz w:val="24"/>
          <w:szCs w:val="20"/>
          <w:lang w:eastAsia="ru-RU"/>
        </w:rPr>
        <w:t>інститутах</w:t>
      </w:r>
      <w:r w:rsidRPr="00480DD8">
        <w:rPr>
          <w:rFonts w:ascii="Times New Roman" w:eastAsia="Times New Roman" w:hAnsi="Times New Roman" w:cs="Times New Roman"/>
          <w:color w:val="000000"/>
          <w:sz w:val="24"/>
          <w:szCs w:val="20"/>
          <w:lang w:eastAsia="ru-RU"/>
        </w:rPr>
        <w:t xml:space="preserve">, які б організовували, регулювали та сприяли ефективності діяльності численних міжнародних консалтингових фірм. </w:t>
      </w:r>
      <w:r w:rsidRPr="00480DD8">
        <w:rPr>
          <w:rFonts w:ascii="Times New Roman" w:eastAsia="Times New Roman" w:hAnsi="Times New Roman" w:cs="Times New Roman"/>
          <w:i/>
          <w:color w:val="000000"/>
          <w:sz w:val="24"/>
          <w:szCs w:val="20"/>
          <w:lang w:eastAsia="ru-RU"/>
        </w:rPr>
        <w:t>Стандартизація</w:t>
      </w:r>
      <w:r w:rsidRPr="00480DD8">
        <w:rPr>
          <w:rFonts w:ascii="Times New Roman" w:eastAsia="Times New Roman" w:hAnsi="Times New Roman" w:cs="Times New Roman"/>
          <w:color w:val="000000"/>
          <w:sz w:val="24"/>
          <w:szCs w:val="20"/>
          <w:lang w:eastAsia="ru-RU"/>
        </w:rPr>
        <w:t xml:space="preserve"> консалтингової діяльності має визначити правила, інструкції, надати характеристики консалтингових продуктів, послуг або їх результатів, з метою досягнення учасниками процесу консультування консенсусу. Формування стандартів для галузі управлінського консультування має привести до: </w:t>
      </w:r>
    </w:p>
    <w:p w:rsidR="00480DD8" w:rsidRPr="00480DD8" w:rsidRDefault="00480DD8" w:rsidP="00480DD8">
      <w:pPr>
        <w:numPr>
          <w:ilvl w:val="0"/>
          <w:numId w:val="2"/>
        </w:numPr>
        <w:spacing w:after="0" w:line="240" w:lineRule="auto"/>
        <w:ind w:left="426" w:hanging="142"/>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створення еталонних принципів діяльності членів професійного товариства; </w:t>
      </w:r>
    </w:p>
    <w:p w:rsidR="00480DD8" w:rsidRPr="00480DD8" w:rsidRDefault="00480DD8" w:rsidP="00480DD8">
      <w:pPr>
        <w:numPr>
          <w:ilvl w:val="0"/>
          <w:numId w:val="2"/>
        </w:numPr>
        <w:spacing w:after="0" w:line="240" w:lineRule="auto"/>
        <w:ind w:left="567" w:hanging="141"/>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lastRenderedPageBreak/>
        <w:t xml:space="preserve">подолання бар’єру закритості і непрозорості консалтингового процесу. </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Першочерговими завданнями </w:t>
      </w:r>
      <w:proofErr w:type="spellStart"/>
      <w:r w:rsidRPr="00480DD8">
        <w:rPr>
          <w:rFonts w:ascii="Times New Roman" w:eastAsia="Times New Roman" w:hAnsi="Times New Roman" w:cs="Times New Roman"/>
          <w:b/>
          <w:i/>
          <w:color w:val="000000"/>
          <w:sz w:val="24"/>
          <w:szCs w:val="20"/>
          <w:lang w:eastAsia="ru-RU"/>
        </w:rPr>
        <w:t>інституціоналізації</w:t>
      </w:r>
      <w:proofErr w:type="spellEnd"/>
      <w:r w:rsidRPr="00480DD8">
        <w:rPr>
          <w:rFonts w:ascii="Times New Roman" w:eastAsia="Times New Roman" w:hAnsi="Times New Roman" w:cs="Times New Roman"/>
          <w:color w:val="000000"/>
          <w:sz w:val="24"/>
          <w:szCs w:val="20"/>
          <w:lang w:eastAsia="ru-RU"/>
        </w:rPr>
        <w:t xml:space="preserve"> консультування є уточнення галузевих меж, розроблення стандартів надання консалтингових послуг, закріплення професійних </w:t>
      </w:r>
      <w:r w:rsidRPr="00480DD8">
        <w:rPr>
          <w:rFonts w:ascii="Times New Roman" w:eastAsia="Times New Roman" w:hAnsi="Times New Roman" w:cs="Times New Roman"/>
          <w:i/>
          <w:color w:val="000000"/>
          <w:sz w:val="24"/>
          <w:szCs w:val="20"/>
          <w:lang w:eastAsia="ru-RU"/>
        </w:rPr>
        <w:t>норм, правил, статусів і ролей,</w:t>
      </w:r>
      <w:r w:rsidRPr="00480DD8">
        <w:rPr>
          <w:rFonts w:ascii="Times New Roman" w:eastAsia="Times New Roman" w:hAnsi="Times New Roman" w:cs="Times New Roman"/>
          <w:color w:val="000000"/>
          <w:sz w:val="24"/>
          <w:szCs w:val="20"/>
          <w:lang w:eastAsia="ru-RU"/>
        </w:rPr>
        <w:t xml:space="preserve"> які виконують консультанти з управління.</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proofErr w:type="spellStart"/>
      <w:r w:rsidRPr="00480DD8">
        <w:rPr>
          <w:rFonts w:ascii="Times New Roman" w:eastAsia="Times New Roman" w:hAnsi="Times New Roman" w:cs="Times New Roman"/>
          <w:b/>
          <w:i/>
          <w:color w:val="000000"/>
          <w:sz w:val="24"/>
          <w:szCs w:val="20"/>
          <w:lang w:eastAsia="ru-RU"/>
        </w:rPr>
        <w:t>Транснаціоналізація</w:t>
      </w:r>
      <w:proofErr w:type="spellEnd"/>
      <w:r w:rsidRPr="00480DD8">
        <w:rPr>
          <w:rFonts w:ascii="Times New Roman" w:eastAsia="Times New Roman" w:hAnsi="Times New Roman" w:cs="Times New Roman"/>
          <w:b/>
          <w:color w:val="000000"/>
          <w:sz w:val="24"/>
          <w:szCs w:val="20"/>
          <w:lang w:eastAsia="ru-RU"/>
        </w:rPr>
        <w:t>.</w:t>
      </w:r>
      <w:r w:rsidRPr="00480DD8">
        <w:rPr>
          <w:rFonts w:ascii="Times New Roman" w:eastAsia="Times New Roman" w:hAnsi="Times New Roman" w:cs="Times New Roman"/>
          <w:color w:val="000000"/>
          <w:sz w:val="24"/>
          <w:szCs w:val="20"/>
          <w:lang w:eastAsia="ru-RU"/>
        </w:rPr>
        <w:t xml:space="preserve"> Деякі </w:t>
      </w:r>
      <w:proofErr w:type="spellStart"/>
      <w:r w:rsidRPr="00480DD8">
        <w:rPr>
          <w:rFonts w:ascii="Times New Roman" w:eastAsia="Times New Roman" w:hAnsi="Times New Roman" w:cs="Times New Roman"/>
          <w:color w:val="000000"/>
          <w:sz w:val="24"/>
          <w:szCs w:val="20"/>
          <w:lang w:eastAsia="ru-RU"/>
        </w:rPr>
        <w:t>мaлі</w:t>
      </w:r>
      <w:proofErr w:type="spellEnd"/>
      <w:r w:rsidRPr="00480DD8">
        <w:rPr>
          <w:rFonts w:ascii="Times New Roman" w:eastAsia="Times New Roman" w:hAnsi="Times New Roman" w:cs="Times New Roman"/>
          <w:color w:val="000000"/>
          <w:sz w:val="24"/>
          <w:szCs w:val="20"/>
          <w:lang w:eastAsia="ru-RU"/>
        </w:rPr>
        <w:t xml:space="preserve"> та середні консалтингові компанії залишають світовий ринок консультування через загострення конкуренції. З одного боку, вони об'єднуються з великими компаніями, посилюючи концентрацію бізнесу, з іншого - дедалі більше лідерів малих компаній схиляються до індивідуальної практики, мінімізуючи у такий спосіб загальні витрати</w:t>
      </w:r>
      <w:r w:rsidRPr="00480DD8">
        <w:rPr>
          <w:rFonts w:ascii="Times New Roman" w:eastAsia="Times New Roman" w:hAnsi="Times New Roman" w:cs="Times New Roman"/>
          <w:b/>
          <w:color w:val="000000"/>
          <w:sz w:val="24"/>
          <w:szCs w:val="20"/>
          <w:lang w:eastAsia="ru-RU"/>
        </w:rPr>
        <w:t xml:space="preserve">. </w:t>
      </w:r>
      <w:proofErr w:type="spellStart"/>
      <w:r w:rsidRPr="00480DD8">
        <w:rPr>
          <w:rFonts w:ascii="Times New Roman" w:eastAsia="Times New Roman" w:hAnsi="Times New Roman" w:cs="Times New Roman"/>
          <w:b/>
          <w:color w:val="000000"/>
          <w:sz w:val="24"/>
          <w:szCs w:val="20"/>
          <w:highlight w:val="yellow"/>
          <w:lang w:eastAsia="ru-RU"/>
        </w:rPr>
        <w:t>Групa</w:t>
      </w:r>
      <w:proofErr w:type="spellEnd"/>
      <w:r w:rsidRPr="00480DD8">
        <w:rPr>
          <w:rFonts w:ascii="Times New Roman" w:eastAsia="Times New Roman" w:hAnsi="Times New Roman" w:cs="Times New Roman"/>
          <w:b/>
          <w:color w:val="000000"/>
          <w:sz w:val="24"/>
          <w:szCs w:val="20"/>
          <w:highlight w:val="yellow"/>
          <w:lang w:eastAsia="ru-RU"/>
        </w:rPr>
        <w:t xml:space="preserve"> транснаціональних гігантів </w:t>
      </w:r>
      <w:r w:rsidRPr="00480DD8">
        <w:rPr>
          <w:rFonts w:ascii="Times New Roman" w:eastAsia="Times New Roman" w:hAnsi="Times New Roman" w:cs="Times New Roman"/>
          <w:color w:val="000000"/>
          <w:sz w:val="24"/>
          <w:szCs w:val="20"/>
          <w:highlight w:val="yellow"/>
          <w:lang w:eastAsia="ru-RU"/>
        </w:rPr>
        <w:t>домінує на сучасному ринку консалтингових послуг. Прикладом такої активної експансії виступають представники «</w:t>
      </w:r>
      <w:r w:rsidRPr="00480DD8">
        <w:rPr>
          <w:rFonts w:ascii="Times New Roman" w:eastAsia="Times New Roman" w:hAnsi="Times New Roman" w:cs="Times New Roman"/>
          <w:b/>
          <w:color w:val="000000"/>
          <w:sz w:val="24"/>
          <w:szCs w:val="20"/>
          <w:highlight w:val="yellow"/>
          <w:lang w:eastAsia="ru-RU"/>
        </w:rPr>
        <w:t>Великої Четвірки</w:t>
      </w:r>
      <w:r w:rsidRPr="00480DD8">
        <w:rPr>
          <w:rFonts w:ascii="Times New Roman" w:eastAsia="Times New Roman" w:hAnsi="Times New Roman" w:cs="Times New Roman"/>
          <w:color w:val="000000"/>
          <w:sz w:val="24"/>
          <w:szCs w:val="20"/>
          <w:highlight w:val="yellow"/>
          <w:lang w:eastAsia="ru-RU"/>
        </w:rPr>
        <w:t>»: «</w:t>
      </w:r>
      <w:proofErr w:type="spellStart"/>
      <w:r w:rsidRPr="00480DD8">
        <w:rPr>
          <w:rFonts w:ascii="Times New Roman" w:eastAsia="Times New Roman" w:hAnsi="Times New Roman" w:cs="Times New Roman"/>
          <w:color w:val="000000"/>
          <w:sz w:val="24"/>
          <w:szCs w:val="20"/>
          <w:highlight w:val="yellow"/>
          <w:lang w:eastAsia="ru-RU"/>
        </w:rPr>
        <w:t>PricewaterhouseCoopers</w:t>
      </w:r>
      <w:proofErr w:type="spellEnd"/>
      <w:r w:rsidRPr="00480DD8">
        <w:rPr>
          <w:rFonts w:ascii="Times New Roman" w:eastAsia="Times New Roman" w:hAnsi="Times New Roman" w:cs="Times New Roman"/>
          <w:color w:val="000000"/>
          <w:sz w:val="24"/>
          <w:szCs w:val="20"/>
          <w:highlight w:val="yellow"/>
          <w:lang w:eastAsia="ru-RU"/>
        </w:rPr>
        <w:t>», «</w:t>
      </w:r>
      <w:proofErr w:type="spellStart"/>
      <w:r w:rsidRPr="00480DD8">
        <w:rPr>
          <w:rFonts w:ascii="Times New Roman" w:eastAsia="Times New Roman" w:hAnsi="Times New Roman" w:cs="Times New Roman"/>
          <w:color w:val="000000"/>
          <w:sz w:val="24"/>
          <w:szCs w:val="20"/>
          <w:highlight w:val="yellow"/>
          <w:lang w:eastAsia="ru-RU"/>
        </w:rPr>
        <w:t>Deloitte</w:t>
      </w:r>
      <w:proofErr w:type="spellEnd"/>
      <w:r w:rsidRPr="00480DD8">
        <w:rPr>
          <w:rFonts w:ascii="Times New Roman" w:eastAsia="Times New Roman" w:hAnsi="Times New Roman" w:cs="Times New Roman"/>
          <w:color w:val="000000"/>
          <w:sz w:val="24"/>
          <w:szCs w:val="20"/>
          <w:highlight w:val="yellow"/>
          <w:lang w:eastAsia="ru-RU"/>
        </w:rPr>
        <w:t xml:space="preserve"> </w:t>
      </w:r>
      <w:proofErr w:type="spellStart"/>
      <w:r w:rsidRPr="00480DD8">
        <w:rPr>
          <w:rFonts w:ascii="Times New Roman" w:eastAsia="Times New Roman" w:hAnsi="Times New Roman" w:cs="Times New Roman"/>
          <w:color w:val="000000"/>
          <w:sz w:val="24"/>
          <w:szCs w:val="20"/>
          <w:highlight w:val="yellow"/>
          <w:lang w:eastAsia="ru-RU"/>
        </w:rPr>
        <w:t>Touche</w:t>
      </w:r>
      <w:proofErr w:type="spellEnd"/>
      <w:r w:rsidRPr="00480DD8">
        <w:rPr>
          <w:rFonts w:ascii="Times New Roman" w:eastAsia="Times New Roman" w:hAnsi="Times New Roman" w:cs="Times New Roman"/>
          <w:color w:val="000000"/>
          <w:sz w:val="24"/>
          <w:szCs w:val="20"/>
          <w:highlight w:val="yellow"/>
          <w:lang w:eastAsia="ru-RU"/>
        </w:rPr>
        <w:t xml:space="preserve"> </w:t>
      </w:r>
      <w:proofErr w:type="spellStart"/>
      <w:r w:rsidRPr="00480DD8">
        <w:rPr>
          <w:rFonts w:ascii="Times New Roman" w:eastAsia="Times New Roman" w:hAnsi="Times New Roman" w:cs="Times New Roman"/>
          <w:color w:val="000000"/>
          <w:sz w:val="24"/>
          <w:szCs w:val="20"/>
          <w:highlight w:val="yellow"/>
          <w:lang w:eastAsia="ru-RU"/>
        </w:rPr>
        <w:t>Tohmatsu</w:t>
      </w:r>
      <w:proofErr w:type="spellEnd"/>
      <w:r w:rsidRPr="00480DD8">
        <w:rPr>
          <w:rFonts w:ascii="Times New Roman" w:eastAsia="Times New Roman" w:hAnsi="Times New Roman" w:cs="Times New Roman"/>
          <w:color w:val="000000"/>
          <w:sz w:val="24"/>
          <w:szCs w:val="20"/>
          <w:highlight w:val="yellow"/>
          <w:lang w:eastAsia="ru-RU"/>
        </w:rPr>
        <w:t>», «</w:t>
      </w:r>
      <w:proofErr w:type="spellStart"/>
      <w:r w:rsidRPr="00480DD8">
        <w:rPr>
          <w:rFonts w:ascii="Times New Roman" w:eastAsia="Times New Roman" w:hAnsi="Times New Roman" w:cs="Times New Roman"/>
          <w:color w:val="000000"/>
          <w:sz w:val="24"/>
          <w:szCs w:val="20"/>
          <w:highlight w:val="yellow"/>
          <w:lang w:eastAsia="ru-RU"/>
        </w:rPr>
        <w:t>Ernst</w:t>
      </w:r>
      <w:proofErr w:type="spellEnd"/>
      <w:r w:rsidRPr="00480DD8">
        <w:rPr>
          <w:rFonts w:ascii="Times New Roman" w:eastAsia="Times New Roman" w:hAnsi="Times New Roman" w:cs="Times New Roman"/>
          <w:color w:val="000000"/>
          <w:sz w:val="24"/>
          <w:szCs w:val="20"/>
          <w:highlight w:val="yellow"/>
          <w:lang w:eastAsia="ru-RU"/>
        </w:rPr>
        <w:t xml:space="preserve"> &amp; </w:t>
      </w:r>
      <w:proofErr w:type="spellStart"/>
      <w:r w:rsidRPr="00480DD8">
        <w:rPr>
          <w:rFonts w:ascii="Times New Roman" w:eastAsia="Times New Roman" w:hAnsi="Times New Roman" w:cs="Times New Roman"/>
          <w:color w:val="000000"/>
          <w:sz w:val="24"/>
          <w:szCs w:val="20"/>
          <w:highlight w:val="yellow"/>
          <w:lang w:eastAsia="ru-RU"/>
        </w:rPr>
        <w:t>Young</w:t>
      </w:r>
      <w:proofErr w:type="spellEnd"/>
      <w:r w:rsidRPr="00480DD8">
        <w:rPr>
          <w:rFonts w:ascii="Times New Roman" w:eastAsia="Times New Roman" w:hAnsi="Times New Roman" w:cs="Times New Roman"/>
          <w:color w:val="000000"/>
          <w:sz w:val="24"/>
          <w:szCs w:val="20"/>
          <w:highlight w:val="yellow"/>
          <w:lang w:eastAsia="ru-RU"/>
        </w:rPr>
        <w:t>» та «KPMG». Перелічені компанії акцентують увагу на розширенні спектру послуг, досягнувши статусу багатофункціональних консультантів, та посіли лідерські позиції на світовому ринку консультування.</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b/>
          <w:i/>
          <w:color w:val="000000"/>
          <w:sz w:val="24"/>
          <w:szCs w:val="20"/>
          <w:lang w:eastAsia="ru-RU"/>
        </w:rPr>
        <w:t>Універсалізація.</w:t>
      </w:r>
      <w:r w:rsidRPr="00480DD8">
        <w:rPr>
          <w:rFonts w:ascii="Times New Roman" w:eastAsia="Times New Roman" w:hAnsi="Times New Roman" w:cs="Times New Roman"/>
          <w:color w:val="000000"/>
          <w:sz w:val="24"/>
          <w:szCs w:val="20"/>
          <w:lang w:eastAsia="ru-RU"/>
        </w:rPr>
        <w:t xml:space="preserve"> З настанням епохи інформаційних технологій спеціалізація світових лідерів консалтингу стає більш умовною, а політика злиття та поглинань сприяє їх універсалізації. У цьому контексті широко вживається поняття </w:t>
      </w:r>
      <w:r w:rsidRPr="00480DD8">
        <w:rPr>
          <w:rFonts w:ascii="Times New Roman" w:eastAsia="Times New Roman" w:hAnsi="Times New Roman" w:cs="Times New Roman"/>
          <w:b/>
          <w:color w:val="000000"/>
          <w:sz w:val="24"/>
          <w:szCs w:val="20"/>
          <w:lang w:eastAsia="ru-RU"/>
        </w:rPr>
        <w:t>«інтегрований консалтинг»</w:t>
      </w:r>
      <w:r w:rsidRPr="00480DD8">
        <w:rPr>
          <w:rFonts w:ascii="Times New Roman" w:eastAsia="Times New Roman" w:hAnsi="Times New Roman" w:cs="Times New Roman"/>
          <w:color w:val="000000"/>
          <w:sz w:val="24"/>
          <w:szCs w:val="20"/>
          <w:lang w:eastAsia="ru-RU"/>
        </w:rPr>
        <w:t>, що визначає такий  вид консультаційної діяльності, при якому об’єднано декілька видів консалтингу задля вирішення таких задач: діагностування проблеми, розробка та реалізація оптимальних консалтингових рішень.</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b/>
          <w:i/>
          <w:color w:val="000000"/>
          <w:sz w:val="24"/>
          <w:szCs w:val="20"/>
          <w:lang w:eastAsia="ru-RU"/>
        </w:rPr>
        <w:t>Інтелектуальна капіталізація</w:t>
      </w:r>
      <w:r w:rsidRPr="00480DD8">
        <w:rPr>
          <w:rFonts w:ascii="Times New Roman" w:eastAsia="Times New Roman" w:hAnsi="Times New Roman" w:cs="Times New Roman"/>
          <w:b/>
          <w:color w:val="000000"/>
          <w:sz w:val="24"/>
          <w:szCs w:val="20"/>
          <w:lang w:eastAsia="ru-RU"/>
        </w:rPr>
        <w:t>.</w:t>
      </w:r>
      <w:r w:rsidRPr="00480DD8">
        <w:rPr>
          <w:rFonts w:ascii="Times New Roman" w:eastAsia="Times New Roman" w:hAnsi="Times New Roman" w:cs="Times New Roman"/>
          <w:color w:val="000000"/>
          <w:sz w:val="24"/>
          <w:szCs w:val="20"/>
          <w:lang w:eastAsia="ru-RU"/>
        </w:rPr>
        <w:t xml:space="preserve"> З розвитком економіки знань, одним із основних факторів успіху консалтингової компанії стає накопичення інтелектуального капіталу. Це досягається, у тому числі, за рахунок збереження та розвитку кваліфікованого персоналу. Зарубіжні консалтингові компанії залучають найкращі кадри, експертів з управління, забезпечують їх подальше удосконалення через постійне підвищення кваліфікації та накопичення досвіду, а також створюють достатні стимули для продовження роботи у компанії. </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b/>
          <w:i/>
          <w:color w:val="000000"/>
          <w:sz w:val="24"/>
          <w:szCs w:val="20"/>
          <w:lang w:eastAsia="ru-RU"/>
        </w:rPr>
        <w:t>Еволюція маркетингових технологій у консалтингу.</w:t>
      </w:r>
      <w:r w:rsidRPr="00480DD8">
        <w:rPr>
          <w:rFonts w:ascii="Times New Roman" w:eastAsia="Times New Roman" w:hAnsi="Times New Roman" w:cs="Times New Roman"/>
          <w:i/>
          <w:color w:val="000000"/>
          <w:sz w:val="24"/>
          <w:szCs w:val="20"/>
          <w:lang w:eastAsia="ru-RU"/>
        </w:rPr>
        <w:t xml:space="preserve"> </w:t>
      </w:r>
      <w:r w:rsidRPr="00480DD8">
        <w:rPr>
          <w:rFonts w:ascii="Times New Roman" w:eastAsia="Times New Roman" w:hAnsi="Times New Roman" w:cs="Times New Roman"/>
          <w:color w:val="000000"/>
          <w:sz w:val="24"/>
          <w:szCs w:val="20"/>
          <w:lang w:eastAsia="ru-RU"/>
        </w:rPr>
        <w:t>Перетворенню консалтингу в могутній та перспективний бізнес сприяла радикальна зміна відношення великих консалтингових фірм до маркетингових технологій. Спочатку традиційною позицією у цій галузі була повна відмова від цільових маркетингових програм та від прямої реклами в засобах масової інформації. Останнім часом більшість лідерів світового консалтингу створили могутні маркетингові підрозділи, які займаються плануванням великомасштабних рекламних кампаній, а також формуванням відповідного іміджу фірми в ЗМІ та з допомогою великих транснаціональних інформаційних агентств.</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b/>
          <w:i/>
          <w:color w:val="000000"/>
          <w:sz w:val="24"/>
          <w:szCs w:val="20"/>
          <w:lang w:eastAsia="ru-RU"/>
        </w:rPr>
        <w:t xml:space="preserve">Модернізація </w:t>
      </w:r>
      <w:proofErr w:type="spellStart"/>
      <w:r w:rsidRPr="00480DD8">
        <w:rPr>
          <w:rFonts w:ascii="Times New Roman" w:eastAsia="Times New Roman" w:hAnsi="Times New Roman" w:cs="Times New Roman"/>
          <w:b/>
          <w:i/>
          <w:color w:val="000000"/>
          <w:sz w:val="24"/>
          <w:szCs w:val="20"/>
          <w:lang w:eastAsia="ru-RU"/>
        </w:rPr>
        <w:t>клієнтсько</w:t>
      </w:r>
      <w:proofErr w:type="spellEnd"/>
      <w:r w:rsidRPr="00480DD8">
        <w:rPr>
          <w:rFonts w:ascii="Times New Roman" w:eastAsia="Times New Roman" w:hAnsi="Times New Roman" w:cs="Times New Roman"/>
          <w:b/>
          <w:i/>
          <w:color w:val="000000"/>
          <w:sz w:val="24"/>
          <w:szCs w:val="20"/>
          <w:lang w:eastAsia="ru-RU"/>
        </w:rPr>
        <w:t>-партнерських відносин.</w:t>
      </w:r>
      <w:r w:rsidRPr="00480DD8">
        <w:rPr>
          <w:rFonts w:ascii="Times New Roman" w:eastAsia="Times New Roman" w:hAnsi="Times New Roman" w:cs="Times New Roman"/>
          <w:color w:val="000000"/>
          <w:sz w:val="24"/>
          <w:szCs w:val="20"/>
          <w:lang w:eastAsia="ru-RU"/>
        </w:rPr>
        <w:t xml:space="preserve"> Донедавна стандартним підсумком роботи консультантів вважався звіт по проекту з висновками та рекомендаціями. Нині клієнти здебільшого очікують від консультантів впровадження наданих рекомендацій та доведення їх до дієвих результатів. Модернізація відносин клієнта та консультанта полягає у тому, що клієнт </w:t>
      </w:r>
      <w:proofErr w:type="spellStart"/>
      <w:r w:rsidRPr="00480DD8">
        <w:rPr>
          <w:rFonts w:ascii="Times New Roman" w:eastAsia="Times New Roman" w:hAnsi="Times New Roman" w:cs="Times New Roman"/>
          <w:color w:val="000000"/>
          <w:sz w:val="24"/>
          <w:szCs w:val="20"/>
          <w:lang w:eastAsia="ru-RU"/>
        </w:rPr>
        <w:t>залучаться</w:t>
      </w:r>
      <w:proofErr w:type="spellEnd"/>
      <w:r w:rsidRPr="00480DD8">
        <w:rPr>
          <w:rFonts w:ascii="Times New Roman" w:eastAsia="Times New Roman" w:hAnsi="Times New Roman" w:cs="Times New Roman"/>
          <w:color w:val="000000"/>
          <w:sz w:val="24"/>
          <w:szCs w:val="20"/>
          <w:lang w:eastAsia="ru-RU"/>
        </w:rPr>
        <w:t xml:space="preserve"> до процесу консультування та стає повноправним учасником консультаційної команди. </w:t>
      </w:r>
    </w:p>
    <w:p w:rsidR="00480DD8" w:rsidRPr="00480DD8" w:rsidRDefault="00480DD8" w:rsidP="00480DD8">
      <w:pPr>
        <w:spacing w:after="0" w:line="240" w:lineRule="auto"/>
        <w:jc w:val="both"/>
        <w:rPr>
          <w:rFonts w:ascii="Times New Roman" w:eastAsia="Times New Roman" w:hAnsi="Times New Roman" w:cs="Times New Roman"/>
          <w:b/>
          <w:color w:val="000000"/>
          <w:sz w:val="24"/>
          <w:szCs w:val="20"/>
          <w:lang w:eastAsia="ru-RU"/>
        </w:rPr>
      </w:pPr>
    </w:p>
    <w:p w:rsidR="00480DD8" w:rsidRPr="00480DD8" w:rsidRDefault="00480DD8" w:rsidP="00480DD8">
      <w:pPr>
        <w:keepNext/>
        <w:keepLines/>
        <w:spacing w:before="200" w:after="0" w:line="240" w:lineRule="auto"/>
        <w:ind w:firstLine="284"/>
        <w:outlineLvl w:val="1"/>
        <w:rPr>
          <w:rFonts w:ascii="Times New Roman" w:eastAsia="Times New Roman" w:hAnsi="Times New Roman" w:cs="Times New Roman"/>
          <w:b/>
          <w:bCs/>
          <w:color w:val="000000"/>
          <w:sz w:val="24"/>
          <w:szCs w:val="26"/>
          <w:lang w:eastAsia="ru-RU"/>
        </w:rPr>
      </w:pPr>
      <w:bookmarkStart w:id="2" w:name="_Toc453179312"/>
      <w:r w:rsidRPr="00480DD8">
        <w:rPr>
          <w:rFonts w:ascii="Times New Roman" w:eastAsia="Times New Roman" w:hAnsi="Times New Roman" w:cs="Times New Roman"/>
          <w:b/>
          <w:bCs/>
          <w:color w:val="000000"/>
          <w:sz w:val="24"/>
          <w:szCs w:val="26"/>
          <w:lang w:eastAsia="ru-RU"/>
        </w:rPr>
        <w:t>3.2. Особливості послуг міжнародного консультування</w:t>
      </w:r>
      <w:bookmarkEnd w:id="2"/>
    </w:p>
    <w:p w:rsidR="00480DD8" w:rsidRPr="00480DD8" w:rsidRDefault="00480DD8" w:rsidP="00480DD8">
      <w:pPr>
        <w:spacing w:after="0" w:line="240" w:lineRule="auto"/>
        <w:ind w:firstLine="426"/>
        <w:jc w:val="both"/>
        <w:rPr>
          <w:rFonts w:ascii="Times New Roman" w:eastAsia="Times New Roman" w:hAnsi="Times New Roman" w:cs="Times New Roman"/>
          <w:color w:val="000000"/>
          <w:sz w:val="24"/>
          <w:szCs w:val="20"/>
          <w:lang w:eastAsia="ru-RU"/>
        </w:rPr>
      </w:pPr>
    </w:p>
    <w:p w:rsidR="00480DD8" w:rsidRPr="00480DD8" w:rsidRDefault="00480DD8" w:rsidP="00480DD8">
      <w:pPr>
        <w:spacing w:after="0" w:line="240" w:lineRule="auto"/>
        <w:ind w:firstLine="426"/>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Через особливості міжнародних відносин і відмінності у нормативно-правовому регулюванні, міжнародний консалтинг стикається з необхідністю вирішення ряду питань:</w:t>
      </w:r>
    </w:p>
    <w:p w:rsidR="00480DD8" w:rsidRPr="00480DD8" w:rsidRDefault="00480DD8" w:rsidP="00480DD8">
      <w:pPr>
        <w:numPr>
          <w:ilvl w:val="0"/>
          <w:numId w:val="1"/>
        </w:numPr>
        <w:spacing w:after="0" w:line="240" w:lineRule="auto"/>
        <w:ind w:left="426"/>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реєстрація підприємств з іноземними інвестиціями, їх подальше обслуговування та постійна юридична підтримка ведення бізнесу в інших країнах;</w:t>
      </w:r>
    </w:p>
    <w:p w:rsidR="00480DD8" w:rsidRPr="00480DD8" w:rsidRDefault="00480DD8" w:rsidP="00480DD8">
      <w:pPr>
        <w:numPr>
          <w:ilvl w:val="0"/>
          <w:numId w:val="1"/>
        </w:numPr>
        <w:spacing w:after="0" w:line="240" w:lineRule="auto"/>
        <w:ind w:left="426"/>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реєстрація юридичних осіб в офшорних зонах та за кордоном;</w:t>
      </w:r>
    </w:p>
    <w:p w:rsidR="00480DD8" w:rsidRPr="00480DD8" w:rsidRDefault="00480DD8" w:rsidP="00480DD8">
      <w:pPr>
        <w:numPr>
          <w:ilvl w:val="0"/>
          <w:numId w:val="1"/>
        </w:numPr>
        <w:spacing w:after="0" w:line="240" w:lineRule="auto"/>
        <w:ind w:left="426"/>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заснування різного роду фондів і трастів;</w:t>
      </w:r>
    </w:p>
    <w:p w:rsidR="00480DD8" w:rsidRPr="00480DD8" w:rsidRDefault="00480DD8" w:rsidP="00480DD8">
      <w:pPr>
        <w:numPr>
          <w:ilvl w:val="0"/>
          <w:numId w:val="1"/>
        </w:numPr>
        <w:spacing w:after="0" w:line="240" w:lineRule="auto"/>
        <w:ind w:left="426"/>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юридичний супровід та підготовка інвестицій;</w:t>
      </w:r>
    </w:p>
    <w:p w:rsidR="00480DD8" w:rsidRPr="00480DD8" w:rsidRDefault="00480DD8" w:rsidP="00480DD8">
      <w:pPr>
        <w:numPr>
          <w:ilvl w:val="0"/>
          <w:numId w:val="1"/>
        </w:numPr>
        <w:spacing w:after="0" w:line="240" w:lineRule="auto"/>
        <w:ind w:left="426"/>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допомога у відкритті рахунків у банківських установах;</w:t>
      </w:r>
    </w:p>
    <w:p w:rsidR="00480DD8" w:rsidRPr="00480DD8" w:rsidRDefault="00480DD8" w:rsidP="00480DD8">
      <w:pPr>
        <w:numPr>
          <w:ilvl w:val="0"/>
          <w:numId w:val="1"/>
        </w:numPr>
        <w:spacing w:after="0" w:line="240" w:lineRule="auto"/>
        <w:ind w:left="426"/>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облік та аудит діяльності компаній згідно з міжнародними стандартами;</w:t>
      </w:r>
    </w:p>
    <w:p w:rsidR="00480DD8" w:rsidRPr="00480DD8" w:rsidRDefault="00480DD8" w:rsidP="00480DD8">
      <w:pPr>
        <w:numPr>
          <w:ilvl w:val="0"/>
          <w:numId w:val="1"/>
        </w:numPr>
        <w:spacing w:after="0" w:line="240" w:lineRule="auto"/>
        <w:ind w:left="426"/>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lastRenderedPageBreak/>
        <w:t>допомога у складанні контрактів та іншої необхідної документації;</w:t>
      </w:r>
    </w:p>
    <w:p w:rsidR="00480DD8" w:rsidRPr="00480DD8" w:rsidRDefault="00480DD8" w:rsidP="00480DD8">
      <w:pPr>
        <w:numPr>
          <w:ilvl w:val="0"/>
          <w:numId w:val="1"/>
        </w:numPr>
        <w:spacing w:after="0" w:line="240" w:lineRule="auto"/>
        <w:ind w:left="426"/>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юридичний супровід роботи компанії та її підрозділів;</w:t>
      </w:r>
    </w:p>
    <w:p w:rsidR="00480DD8" w:rsidRPr="00480DD8" w:rsidRDefault="00480DD8" w:rsidP="00480DD8">
      <w:pPr>
        <w:numPr>
          <w:ilvl w:val="0"/>
          <w:numId w:val="1"/>
        </w:numPr>
        <w:spacing w:after="0" w:line="240" w:lineRule="auto"/>
        <w:ind w:left="426"/>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планування міжнародних податкових відносин з метою мінімізації податкових виплат тощо</w:t>
      </w:r>
    </w:p>
    <w:p w:rsidR="00480DD8" w:rsidRPr="00480DD8" w:rsidRDefault="00480DD8" w:rsidP="00480DD8">
      <w:pPr>
        <w:spacing w:after="0" w:line="240" w:lineRule="auto"/>
        <w:ind w:firstLine="568"/>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Консультування з економіки та управління (менеджмент-консалтинг) у більшості розвинених країнах світу виступає як окремий сектор послуг. У США його оборот складає близько 14 млрд. </w:t>
      </w:r>
      <w:proofErr w:type="spellStart"/>
      <w:r w:rsidRPr="00480DD8">
        <w:rPr>
          <w:rFonts w:ascii="Times New Roman" w:eastAsia="Times New Roman" w:hAnsi="Times New Roman" w:cs="Times New Roman"/>
          <w:color w:val="000000"/>
          <w:sz w:val="24"/>
          <w:szCs w:val="20"/>
          <w:lang w:eastAsia="ru-RU"/>
        </w:rPr>
        <w:t>дол</w:t>
      </w:r>
      <w:proofErr w:type="spellEnd"/>
      <w:r w:rsidRPr="00480DD8">
        <w:rPr>
          <w:rFonts w:ascii="Times New Roman" w:eastAsia="Times New Roman" w:hAnsi="Times New Roman" w:cs="Times New Roman"/>
          <w:color w:val="000000"/>
          <w:sz w:val="24"/>
          <w:szCs w:val="20"/>
          <w:lang w:eastAsia="ru-RU"/>
        </w:rPr>
        <w:t xml:space="preserve">., в Європі ― 8 млрд., в Японії ― 2,5 млрд. </w:t>
      </w:r>
      <w:proofErr w:type="spellStart"/>
      <w:r w:rsidRPr="00480DD8">
        <w:rPr>
          <w:rFonts w:ascii="Times New Roman" w:eastAsia="Times New Roman" w:hAnsi="Times New Roman" w:cs="Times New Roman"/>
          <w:color w:val="000000"/>
          <w:sz w:val="24"/>
          <w:szCs w:val="20"/>
          <w:lang w:eastAsia="ru-RU"/>
        </w:rPr>
        <w:t>дол</w:t>
      </w:r>
      <w:proofErr w:type="spellEnd"/>
      <w:r w:rsidRPr="00480DD8">
        <w:rPr>
          <w:rFonts w:ascii="Times New Roman" w:eastAsia="Times New Roman" w:hAnsi="Times New Roman" w:cs="Times New Roman"/>
          <w:color w:val="000000"/>
          <w:sz w:val="24"/>
          <w:szCs w:val="20"/>
          <w:lang w:eastAsia="ru-RU"/>
        </w:rPr>
        <w:t xml:space="preserve">., а в інших країнах світу в цілому він оцінюється у 2 млрд. </w:t>
      </w:r>
      <w:proofErr w:type="spellStart"/>
      <w:r w:rsidRPr="00480DD8">
        <w:rPr>
          <w:rFonts w:ascii="Times New Roman" w:eastAsia="Times New Roman" w:hAnsi="Times New Roman" w:cs="Times New Roman"/>
          <w:color w:val="000000"/>
          <w:sz w:val="24"/>
          <w:szCs w:val="20"/>
          <w:lang w:eastAsia="ru-RU"/>
        </w:rPr>
        <w:t>дол</w:t>
      </w:r>
      <w:proofErr w:type="spellEnd"/>
      <w:r w:rsidRPr="00480DD8">
        <w:rPr>
          <w:rFonts w:ascii="Times New Roman" w:eastAsia="Times New Roman" w:hAnsi="Times New Roman" w:cs="Times New Roman"/>
          <w:color w:val="000000"/>
          <w:sz w:val="24"/>
          <w:szCs w:val="20"/>
          <w:lang w:eastAsia="ru-RU"/>
        </w:rPr>
        <w:t xml:space="preserve">. </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Особливості розвитку послуг міжнародного консультування представлено у табл. 3.1.</w:t>
      </w:r>
    </w:p>
    <w:p w:rsidR="00480DD8" w:rsidRPr="00480DD8" w:rsidRDefault="00480DD8" w:rsidP="00480DD8">
      <w:pPr>
        <w:spacing w:after="0" w:line="240" w:lineRule="auto"/>
        <w:ind w:firstLine="567"/>
        <w:jc w:val="right"/>
        <w:rPr>
          <w:rFonts w:ascii="Times New Roman" w:eastAsia="Times New Roman" w:hAnsi="Times New Roman" w:cs="Times New Roman"/>
          <w:i/>
          <w:color w:val="000000"/>
          <w:sz w:val="24"/>
          <w:szCs w:val="20"/>
          <w:lang w:eastAsia="ru-RU"/>
        </w:rPr>
      </w:pPr>
      <w:r w:rsidRPr="00480DD8">
        <w:rPr>
          <w:rFonts w:ascii="Times New Roman" w:eastAsia="Times New Roman" w:hAnsi="Times New Roman" w:cs="Times New Roman"/>
          <w:i/>
          <w:color w:val="000000"/>
          <w:sz w:val="24"/>
          <w:szCs w:val="20"/>
          <w:lang w:eastAsia="ru-RU"/>
        </w:rPr>
        <w:br w:type="page"/>
      </w:r>
      <w:r w:rsidRPr="00480DD8">
        <w:rPr>
          <w:rFonts w:ascii="Times New Roman" w:eastAsia="Times New Roman" w:hAnsi="Times New Roman" w:cs="Times New Roman"/>
          <w:i/>
          <w:color w:val="000000"/>
          <w:sz w:val="24"/>
          <w:szCs w:val="20"/>
          <w:lang w:eastAsia="ru-RU"/>
        </w:rPr>
        <w:lastRenderedPageBreak/>
        <w:t>Таблиця 3.1</w:t>
      </w:r>
    </w:p>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b/>
          <w:color w:val="000000"/>
          <w:sz w:val="24"/>
          <w:szCs w:val="20"/>
          <w:lang w:eastAsia="ru-RU"/>
        </w:rPr>
        <w:t>Особливості розвитку послуг міжнародного консультування</w:t>
      </w:r>
      <w:r w:rsidRPr="00480DD8">
        <w:rPr>
          <w:rFonts w:ascii="Times New Roman" w:eastAsia="Times New Roman" w:hAnsi="Times New Roman" w:cs="Times New Roman"/>
          <w:color w:val="000000"/>
          <w:sz w:val="24"/>
          <w:szCs w:val="20"/>
          <w:lang w:eastAsia="ru-RU"/>
        </w:rPr>
        <w:t xml:space="preserve"> (складено за матеріалами [</w:t>
      </w:r>
      <w:r w:rsidRPr="00480DD8">
        <w:rPr>
          <w:rFonts w:ascii="Times New Roman" w:eastAsia="Times New Roman" w:hAnsi="Times New Roman" w:cs="Times New Roman"/>
          <w:color w:val="000000"/>
          <w:sz w:val="24"/>
          <w:szCs w:val="20"/>
          <w:lang w:eastAsia="ru-RU"/>
        </w:rPr>
        <w:fldChar w:fldCharType="begin"/>
      </w:r>
      <w:r w:rsidRPr="00480DD8">
        <w:rPr>
          <w:rFonts w:ascii="Times New Roman" w:eastAsia="Times New Roman" w:hAnsi="Times New Roman" w:cs="Times New Roman"/>
          <w:color w:val="000000"/>
          <w:sz w:val="24"/>
          <w:szCs w:val="20"/>
          <w:lang w:eastAsia="ru-RU"/>
        </w:rPr>
        <w:instrText xml:space="preserve"> REF _Ref439520802 \r \h  \* MERGEFORMAT </w:instrText>
      </w:r>
      <w:r w:rsidRPr="00480DD8">
        <w:rPr>
          <w:rFonts w:ascii="Times New Roman" w:eastAsia="Times New Roman" w:hAnsi="Times New Roman" w:cs="Times New Roman"/>
          <w:color w:val="000000"/>
          <w:sz w:val="24"/>
          <w:szCs w:val="20"/>
          <w:lang w:eastAsia="ru-RU"/>
        </w:rPr>
      </w:r>
      <w:r w:rsidRPr="00480DD8">
        <w:rPr>
          <w:rFonts w:ascii="Times New Roman" w:eastAsia="Times New Roman" w:hAnsi="Times New Roman" w:cs="Times New Roman"/>
          <w:color w:val="000000"/>
          <w:sz w:val="24"/>
          <w:szCs w:val="20"/>
          <w:lang w:eastAsia="ru-RU"/>
        </w:rPr>
        <w:fldChar w:fldCharType="separate"/>
      </w:r>
      <w:r w:rsidRPr="00480DD8">
        <w:rPr>
          <w:rFonts w:ascii="Times New Roman" w:eastAsia="Times New Roman" w:hAnsi="Times New Roman" w:cs="Times New Roman"/>
          <w:color w:val="000000"/>
          <w:sz w:val="24"/>
          <w:szCs w:val="20"/>
          <w:lang w:eastAsia="ru-RU"/>
        </w:rPr>
        <w:t>26</w:t>
      </w:r>
      <w:r w:rsidRPr="00480DD8">
        <w:rPr>
          <w:rFonts w:ascii="Times New Roman" w:eastAsia="Times New Roman" w:hAnsi="Times New Roman" w:cs="Times New Roman"/>
          <w:color w:val="000000"/>
          <w:sz w:val="24"/>
          <w:szCs w:val="20"/>
          <w:lang w:eastAsia="ru-RU"/>
        </w:rPr>
        <w:fldChar w:fldCharType="end"/>
      </w:r>
      <w:r w:rsidRPr="00480DD8">
        <w:rPr>
          <w:rFonts w:ascii="Times New Roman" w:eastAsia="Times New Roman" w:hAnsi="Times New Roman" w:cs="Times New Roman"/>
          <w:color w:val="000000"/>
          <w:sz w:val="24"/>
          <w:szCs w:val="20"/>
          <w:lang w:eastAsia="ru-RU"/>
        </w:rPr>
        <w:t>])</w:t>
      </w:r>
    </w:p>
    <w:tbl>
      <w:tblPr>
        <w:tblW w:w="6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421"/>
        <w:gridCol w:w="1842"/>
        <w:gridCol w:w="4253"/>
      </w:tblGrid>
      <w:tr w:rsidR="00480DD8" w:rsidRPr="00480DD8" w:rsidTr="00331F77">
        <w:trPr>
          <w:jc w:val="center"/>
        </w:trPr>
        <w:tc>
          <w:tcPr>
            <w:tcW w:w="421" w:type="dxa"/>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 xml:space="preserve">№ </w:t>
            </w:r>
            <w:r w:rsidRPr="00480DD8">
              <w:rPr>
                <w:rFonts w:ascii="Times New Roman" w:eastAsia="Times New Roman" w:hAnsi="Times New Roman" w:cs="Times New Roman"/>
                <w:b/>
                <w:color w:val="000000"/>
                <w:sz w:val="18"/>
                <w:szCs w:val="20"/>
                <w:vertAlign w:val="subscript"/>
                <w:lang w:eastAsia="ru-RU"/>
              </w:rPr>
              <w:t>п/п</w:t>
            </w:r>
          </w:p>
        </w:tc>
        <w:tc>
          <w:tcPr>
            <w:tcW w:w="1842" w:type="dxa"/>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 xml:space="preserve">Особливість </w:t>
            </w:r>
          </w:p>
        </w:tc>
        <w:tc>
          <w:tcPr>
            <w:tcW w:w="4253" w:type="dxa"/>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Характеристика</w:t>
            </w:r>
          </w:p>
        </w:tc>
      </w:tr>
      <w:tr w:rsidR="00480DD8" w:rsidRPr="00480DD8" w:rsidTr="00331F77">
        <w:trPr>
          <w:jc w:val="center"/>
        </w:trPr>
        <w:tc>
          <w:tcPr>
            <w:tcW w:w="421" w:type="dxa"/>
            <w:vAlign w:val="center"/>
          </w:tcPr>
          <w:p w:rsidR="00480DD8" w:rsidRPr="00480DD8" w:rsidRDefault="00480DD8" w:rsidP="00480DD8">
            <w:pPr>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1</w:t>
            </w:r>
          </w:p>
        </w:tc>
        <w:tc>
          <w:tcPr>
            <w:tcW w:w="1842" w:type="dxa"/>
            <w:vAlign w:val="center"/>
          </w:tcPr>
          <w:p w:rsidR="00480DD8" w:rsidRPr="00480DD8" w:rsidRDefault="00480DD8" w:rsidP="00480DD8">
            <w:pPr>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Професійність замовників послуг</w:t>
            </w:r>
          </w:p>
        </w:tc>
        <w:tc>
          <w:tcPr>
            <w:tcW w:w="4253" w:type="dxa"/>
            <w:vAlign w:val="center"/>
          </w:tcPr>
          <w:p w:rsidR="00480DD8" w:rsidRPr="00480DD8" w:rsidRDefault="00480DD8" w:rsidP="00480DD8">
            <w:pPr>
              <w:spacing w:after="0" w:line="240" w:lineRule="auto"/>
              <w:jc w:val="both"/>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Професіоналізм клієнтських організацій спонукає до постійного розвитку обізнаності консультантів у різних аспектах функціонування підприємства певної галузі.</w:t>
            </w:r>
          </w:p>
        </w:tc>
      </w:tr>
      <w:tr w:rsidR="00480DD8" w:rsidRPr="00480DD8" w:rsidTr="00331F77">
        <w:trPr>
          <w:jc w:val="center"/>
        </w:trPr>
        <w:tc>
          <w:tcPr>
            <w:tcW w:w="421" w:type="dxa"/>
            <w:vAlign w:val="center"/>
          </w:tcPr>
          <w:p w:rsidR="00480DD8" w:rsidRPr="00480DD8" w:rsidRDefault="00480DD8" w:rsidP="00480DD8">
            <w:pPr>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2</w:t>
            </w:r>
          </w:p>
        </w:tc>
        <w:tc>
          <w:tcPr>
            <w:tcW w:w="1842" w:type="dxa"/>
            <w:vAlign w:val="center"/>
          </w:tcPr>
          <w:p w:rsidR="00480DD8" w:rsidRPr="00480DD8" w:rsidRDefault="00480DD8" w:rsidP="00480DD8">
            <w:pPr>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 xml:space="preserve">Тісні відносини споживача та постачальника послуги </w:t>
            </w:r>
          </w:p>
        </w:tc>
        <w:tc>
          <w:tcPr>
            <w:tcW w:w="4253" w:type="dxa"/>
            <w:vAlign w:val="center"/>
          </w:tcPr>
          <w:p w:rsidR="00480DD8" w:rsidRPr="00480DD8" w:rsidRDefault="00480DD8" w:rsidP="00480DD8">
            <w:pPr>
              <w:spacing w:after="0" w:line="240" w:lineRule="auto"/>
              <w:jc w:val="both"/>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 xml:space="preserve">У процесі роботи у клієнтів та консультантів виникають довірчі відносини. Співробітники консалтингової компанії іноді розглядаються клієнтами як внутрішні працівники. </w:t>
            </w:r>
          </w:p>
        </w:tc>
      </w:tr>
      <w:tr w:rsidR="00480DD8" w:rsidRPr="00480DD8" w:rsidTr="00331F77">
        <w:trPr>
          <w:jc w:val="center"/>
        </w:trPr>
        <w:tc>
          <w:tcPr>
            <w:tcW w:w="421" w:type="dxa"/>
            <w:vAlign w:val="center"/>
          </w:tcPr>
          <w:p w:rsidR="00480DD8" w:rsidRPr="00480DD8" w:rsidRDefault="00480DD8" w:rsidP="00480DD8">
            <w:pPr>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3</w:t>
            </w:r>
          </w:p>
        </w:tc>
        <w:tc>
          <w:tcPr>
            <w:tcW w:w="1842" w:type="dxa"/>
            <w:vAlign w:val="center"/>
          </w:tcPr>
          <w:p w:rsidR="00480DD8" w:rsidRPr="00480DD8" w:rsidRDefault="00480DD8" w:rsidP="00480DD8">
            <w:pPr>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Вибірковість консалтингових послуг</w:t>
            </w:r>
          </w:p>
        </w:tc>
        <w:tc>
          <w:tcPr>
            <w:tcW w:w="4253" w:type="dxa"/>
            <w:vAlign w:val="center"/>
          </w:tcPr>
          <w:p w:rsidR="00480DD8" w:rsidRPr="00480DD8" w:rsidRDefault="00480DD8" w:rsidP="00480DD8">
            <w:pPr>
              <w:spacing w:after="0" w:line="240" w:lineRule="auto"/>
              <w:jc w:val="both"/>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Консультування проводиться з ініціативи клієнтської організації, а вартість наданих послуг становить незначну частку у сукупних витратах клієнта</w:t>
            </w:r>
          </w:p>
        </w:tc>
      </w:tr>
      <w:tr w:rsidR="00480DD8" w:rsidRPr="00480DD8" w:rsidTr="00331F77">
        <w:trPr>
          <w:jc w:val="center"/>
        </w:trPr>
        <w:tc>
          <w:tcPr>
            <w:tcW w:w="421" w:type="dxa"/>
            <w:vAlign w:val="center"/>
          </w:tcPr>
          <w:p w:rsidR="00480DD8" w:rsidRPr="00480DD8" w:rsidRDefault="00480DD8" w:rsidP="00480DD8">
            <w:pPr>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4</w:t>
            </w:r>
          </w:p>
        </w:tc>
        <w:tc>
          <w:tcPr>
            <w:tcW w:w="1842" w:type="dxa"/>
            <w:vAlign w:val="center"/>
          </w:tcPr>
          <w:p w:rsidR="00480DD8" w:rsidRPr="00480DD8" w:rsidRDefault="00480DD8" w:rsidP="00480DD8">
            <w:pPr>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Географічна концентрація клієнтів та консультантів</w:t>
            </w:r>
          </w:p>
        </w:tc>
        <w:tc>
          <w:tcPr>
            <w:tcW w:w="4253" w:type="dxa"/>
            <w:vAlign w:val="center"/>
          </w:tcPr>
          <w:p w:rsidR="00480DD8" w:rsidRPr="00480DD8" w:rsidRDefault="00480DD8" w:rsidP="00480DD8">
            <w:pPr>
              <w:spacing w:after="0" w:line="240" w:lineRule="auto"/>
              <w:jc w:val="both"/>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Концентрація клієнтських організацій у фінансових центрах та розвинених регіонах світу зумовлює відповідну концентрацію консалтингових компаній.</w:t>
            </w:r>
          </w:p>
        </w:tc>
      </w:tr>
      <w:tr w:rsidR="00480DD8" w:rsidRPr="00480DD8" w:rsidTr="00331F77">
        <w:trPr>
          <w:jc w:val="center"/>
        </w:trPr>
        <w:tc>
          <w:tcPr>
            <w:tcW w:w="421" w:type="dxa"/>
            <w:vAlign w:val="center"/>
          </w:tcPr>
          <w:p w:rsidR="00480DD8" w:rsidRPr="00480DD8" w:rsidRDefault="00480DD8" w:rsidP="00480DD8">
            <w:pPr>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5</w:t>
            </w:r>
          </w:p>
        </w:tc>
        <w:tc>
          <w:tcPr>
            <w:tcW w:w="1842" w:type="dxa"/>
            <w:vAlign w:val="center"/>
          </w:tcPr>
          <w:p w:rsidR="00480DD8" w:rsidRPr="00480DD8" w:rsidRDefault="00480DD8" w:rsidP="00480DD8">
            <w:pPr>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Висока лояльність клієнтів при задоволеному попередньому попиті</w:t>
            </w:r>
          </w:p>
        </w:tc>
        <w:tc>
          <w:tcPr>
            <w:tcW w:w="4253" w:type="dxa"/>
            <w:vAlign w:val="center"/>
          </w:tcPr>
          <w:p w:rsidR="00480DD8" w:rsidRPr="00480DD8" w:rsidRDefault="00480DD8" w:rsidP="00480DD8">
            <w:pPr>
              <w:spacing w:after="0" w:line="240" w:lineRule="auto"/>
              <w:jc w:val="both"/>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Частка клієнтів консультування, які замовляють послуги вдруге, може сягати 80 % у загальному обсязі клієнтів, якщо первинний досвід співробітництва був успішний.</w:t>
            </w:r>
          </w:p>
        </w:tc>
      </w:tr>
      <w:tr w:rsidR="00480DD8" w:rsidRPr="00480DD8" w:rsidTr="00331F77">
        <w:trPr>
          <w:jc w:val="center"/>
        </w:trPr>
        <w:tc>
          <w:tcPr>
            <w:tcW w:w="421" w:type="dxa"/>
            <w:vAlign w:val="center"/>
          </w:tcPr>
          <w:p w:rsidR="00480DD8" w:rsidRPr="00480DD8" w:rsidRDefault="00480DD8" w:rsidP="00480DD8">
            <w:pPr>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6</w:t>
            </w:r>
          </w:p>
        </w:tc>
        <w:tc>
          <w:tcPr>
            <w:tcW w:w="1842" w:type="dxa"/>
            <w:vAlign w:val="center"/>
          </w:tcPr>
          <w:p w:rsidR="00480DD8" w:rsidRPr="00480DD8" w:rsidRDefault="00480DD8" w:rsidP="00480DD8">
            <w:pPr>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Унікальність консалтингової послуги</w:t>
            </w:r>
          </w:p>
        </w:tc>
        <w:tc>
          <w:tcPr>
            <w:tcW w:w="4253" w:type="dxa"/>
            <w:vAlign w:val="center"/>
          </w:tcPr>
          <w:p w:rsidR="00480DD8" w:rsidRPr="00480DD8" w:rsidRDefault="00480DD8" w:rsidP="00480DD8">
            <w:pPr>
              <w:spacing w:after="0" w:line="240" w:lineRule="auto"/>
              <w:jc w:val="both"/>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Унікальність послуг пов’язана із необхідністю адаптації консультування до конкретного клієнта. Це позначається на політиці ціноутворення на ринку та на рівні еластичності попиту.</w:t>
            </w:r>
          </w:p>
        </w:tc>
      </w:tr>
      <w:tr w:rsidR="00480DD8" w:rsidRPr="00480DD8" w:rsidTr="00331F77">
        <w:trPr>
          <w:jc w:val="center"/>
        </w:trPr>
        <w:tc>
          <w:tcPr>
            <w:tcW w:w="421" w:type="dxa"/>
            <w:vAlign w:val="center"/>
          </w:tcPr>
          <w:p w:rsidR="00480DD8" w:rsidRPr="00480DD8" w:rsidRDefault="00480DD8" w:rsidP="00480DD8">
            <w:pPr>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7</w:t>
            </w:r>
          </w:p>
        </w:tc>
        <w:tc>
          <w:tcPr>
            <w:tcW w:w="1842" w:type="dxa"/>
            <w:vAlign w:val="center"/>
          </w:tcPr>
          <w:p w:rsidR="00480DD8" w:rsidRPr="00480DD8" w:rsidRDefault="00480DD8" w:rsidP="00480DD8">
            <w:pPr>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Необхідність дотримання конфіденційності</w:t>
            </w:r>
          </w:p>
        </w:tc>
        <w:tc>
          <w:tcPr>
            <w:tcW w:w="4253" w:type="dxa"/>
            <w:vAlign w:val="center"/>
          </w:tcPr>
          <w:p w:rsidR="00480DD8" w:rsidRPr="00480DD8" w:rsidRDefault="00480DD8" w:rsidP="00480DD8">
            <w:pPr>
              <w:spacing w:after="0" w:line="240" w:lineRule="auto"/>
              <w:jc w:val="both"/>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 xml:space="preserve">Збереження комерційної таємниці, дотримання принципу конфіденційності консультантами є важливим для кожної клієнтської організації, тому що один консультант може співпрацювати одразу із декількома клієнтами, які є конкурентами. </w:t>
            </w:r>
          </w:p>
        </w:tc>
      </w:tr>
      <w:tr w:rsidR="00480DD8" w:rsidRPr="00480DD8" w:rsidTr="00331F77">
        <w:trPr>
          <w:jc w:val="center"/>
        </w:trPr>
        <w:tc>
          <w:tcPr>
            <w:tcW w:w="421" w:type="dxa"/>
            <w:vAlign w:val="center"/>
          </w:tcPr>
          <w:p w:rsidR="00480DD8" w:rsidRPr="00480DD8" w:rsidRDefault="00480DD8" w:rsidP="00480DD8">
            <w:pPr>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8</w:t>
            </w:r>
          </w:p>
        </w:tc>
        <w:tc>
          <w:tcPr>
            <w:tcW w:w="1842" w:type="dxa"/>
            <w:vAlign w:val="center"/>
          </w:tcPr>
          <w:p w:rsidR="00480DD8" w:rsidRPr="00480DD8" w:rsidRDefault="00480DD8" w:rsidP="00480DD8">
            <w:pPr>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Мобільність послуг</w:t>
            </w:r>
          </w:p>
        </w:tc>
        <w:tc>
          <w:tcPr>
            <w:tcW w:w="4253" w:type="dxa"/>
            <w:vAlign w:val="center"/>
          </w:tcPr>
          <w:p w:rsidR="00480DD8" w:rsidRPr="00480DD8" w:rsidRDefault="00480DD8" w:rsidP="00480DD8">
            <w:pPr>
              <w:spacing w:after="0" w:line="240" w:lineRule="auto"/>
              <w:jc w:val="both"/>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 xml:space="preserve">Прямим наслідком нематеріальності послуги є можливість її перенесення, оскільки вона не вимагає капітального устаткування. </w:t>
            </w:r>
          </w:p>
        </w:tc>
      </w:tr>
    </w:tbl>
    <w:p w:rsidR="00480DD8" w:rsidRPr="00480DD8" w:rsidRDefault="00480DD8" w:rsidP="00480DD8">
      <w:pPr>
        <w:spacing w:after="0" w:line="240" w:lineRule="auto"/>
        <w:ind w:firstLine="568"/>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Сумарний оборот за іншими видами професійних послуг (аудит, юридичне обслуговування, тренінг, інжиніринг, інвестиційні, інформаційні та рекламні послуги) у кілька разів більший.</w:t>
      </w:r>
    </w:p>
    <w:p w:rsidR="00480DD8" w:rsidRPr="00480DD8" w:rsidRDefault="00480DD8" w:rsidP="00480DD8">
      <w:pPr>
        <w:spacing w:after="0" w:line="240" w:lineRule="auto"/>
        <w:ind w:firstLine="568"/>
        <w:jc w:val="both"/>
        <w:rPr>
          <w:rFonts w:ascii="Times New Roman" w:eastAsia="Times New Roman" w:hAnsi="Times New Roman" w:cs="Times New Roman"/>
          <w:i/>
          <w:color w:val="000000"/>
          <w:sz w:val="24"/>
          <w:szCs w:val="20"/>
          <w:lang w:eastAsia="ru-RU"/>
        </w:rPr>
      </w:pPr>
      <w:r w:rsidRPr="00480DD8">
        <w:rPr>
          <w:rFonts w:ascii="Times New Roman" w:eastAsia="Times New Roman" w:hAnsi="Times New Roman" w:cs="Times New Roman"/>
          <w:color w:val="000000"/>
          <w:sz w:val="24"/>
          <w:szCs w:val="20"/>
          <w:lang w:eastAsia="ru-RU"/>
        </w:rPr>
        <w:t>У табл.  3.2. приведено динамку зростання міжнародного ринку консалтингових послуг у країнах Європи за даними FEACO.</w:t>
      </w:r>
    </w:p>
    <w:p w:rsidR="00480DD8" w:rsidRPr="00480DD8" w:rsidRDefault="00480DD8" w:rsidP="00480DD8">
      <w:pPr>
        <w:spacing w:after="0" w:line="240" w:lineRule="auto"/>
        <w:ind w:firstLine="568"/>
        <w:jc w:val="right"/>
        <w:rPr>
          <w:rFonts w:ascii="Times New Roman" w:eastAsia="Times New Roman" w:hAnsi="Times New Roman" w:cs="Times New Roman"/>
          <w:i/>
          <w:color w:val="000000"/>
          <w:sz w:val="24"/>
          <w:szCs w:val="20"/>
          <w:lang w:eastAsia="ru-RU"/>
        </w:rPr>
      </w:pPr>
      <w:r w:rsidRPr="00480DD8">
        <w:rPr>
          <w:rFonts w:ascii="Times New Roman" w:eastAsia="Times New Roman" w:hAnsi="Times New Roman" w:cs="Times New Roman"/>
          <w:i/>
          <w:color w:val="000000"/>
          <w:sz w:val="24"/>
          <w:szCs w:val="20"/>
          <w:lang w:eastAsia="ru-RU"/>
        </w:rPr>
        <w:t>Таблиця 3.2</w:t>
      </w:r>
    </w:p>
    <w:p w:rsidR="00480DD8" w:rsidRPr="00480DD8" w:rsidRDefault="00480DD8" w:rsidP="00480DD8">
      <w:pPr>
        <w:spacing w:after="0" w:line="240" w:lineRule="auto"/>
        <w:ind w:firstLine="568"/>
        <w:jc w:val="center"/>
        <w:rPr>
          <w:rFonts w:ascii="Times New Roman" w:eastAsia="Times New Roman" w:hAnsi="Times New Roman" w:cs="Times New Roman"/>
          <w:b/>
          <w:color w:val="000000"/>
          <w:sz w:val="24"/>
          <w:szCs w:val="20"/>
          <w:lang w:eastAsia="ru-RU"/>
        </w:rPr>
      </w:pPr>
      <w:r w:rsidRPr="00480DD8">
        <w:rPr>
          <w:rFonts w:ascii="Times New Roman" w:eastAsia="Times New Roman" w:hAnsi="Times New Roman" w:cs="Times New Roman"/>
          <w:b/>
          <w:color w:val="000000"/>
          <w:sz w:val="24"/>
          <w:szCs w:val="20"/>
          <w:lang w:eastAsia="ru-RU"/>
        </w:rPr>
        <w:t>Обсяги міжнародного ринку  консалтингових послуг 2008-2013 рр.</w:t>
      </w:r>
    </w:p>
    <w:p w:rsidR="00480DD8" w:rsidRPr="00480DD8" w:rsidRDefault="00480DD8" w:rsidP="00480DD8">
      <w:pPr>
        <w:spacing w:after="0" w:line="240" w:lineRule="auto"/>
        <w:ind w:firstLine="568"/>
        <w:jc w:val="right"/>
        <w:rPr>
          <w:rFonts w:ascii="Times New Roman" w:eastAsia="Times New Roman" w:hAnsi="Times New Roman" w:cs="Times New Roman"/>
          <w:b/>
          <w:i/>
          <w:color w:val="000000"/>
          <w:sz w:val="20"/>
          <w:szCs w:val="20"/>
          <w:lang w:eastAsia="ru-RU"/>
        </w:rPr>
      </w:pPr>
      <w:r w:rsidRPr="00480DD8">
        <w:rPr>
          <w:rFonts w:ascii="Times New Roman" w:eastAsia="Times New Roman" w:hAnsi="Times New Roman" w:cs="Times New Roman"/>
          <w:b/>
          <w:i/>
          <w:color w:val="000000"/>
          <w:sz w:val="20"/>
          <w:szCs w:val="20"/>
          <w:lang w:eastAsia="ru-RU"/>
        </w:rPr>
        <w:t>млрд. євро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1066"/>
        <w:gridCol w:w="1066"/>
        <w:gridCol w:w="1066"/>
        <w:gridCol w:w="1066"/>
        <w:gridCol w:w="1066"/>
        <w:gridCol w:w="1066"/>
      </w:tblGrid>
      <w:tr w:rsidR="00480DD8" w:rsidRPr="00480DD8" w:rsidTr="00331F77">
        <w:tc>
          <w:tcPr>
            <w:tcW w:w="1066" w:type="dxa"/>
          </w:tcPr>
          <w:p w:rsidR="00480DD8" w:rsidRPr="00480DD8" w:rsidRDefault="00480DD8" w:rsidP="00480DD8">
            <w:pPr>
              <w:spacing w:after="0" w:line="240" w:lineRule="auto"/>
              <w:jc w:val="center"/>
              <w:rPr>
                <w:rFonts w:ascii="Times New Roman" w:eastAsia="Times New Roman" w:hAnsi="Times New Roman" w:cs="Times New Roman"/>
                <w:b/>
                <w:color w:val="000000"/>
                <w:sz w:val="24"/>
                <w:szCs w:val="20"/>
                <w:lang w:eastAsia="ru-RU"/>
              </w:rPr>
            </w:pPr>
            <w:r w:rsidRPr="00480DD8">
              <w:rPr>
                <w:rFonts w:ascii="Times New Roman" w:eastAsia="Times New Roman" w:hAnsi="Times New Roman" w:cs="Times New Roman"/>
                <w:b/>
                <w:color w:val="000000"/>
                <w:sz w:val="24"/>
                <w:szCs w:val="20"/>
                <w:lang w:eastAsia="ru-RU"/>
              </w:rPr>
              <w:t>2008</w:t>
            </w:r>
          </w:p>
        </w:tc>
        <w:tc>
          <w:tcPr>
            <w:tcW w:w="1066" w:type="dxa"/>
          </w:tcPr>
          <w:p w:rsidR="00480DD8" w:rsidRPr="00480DD8" w:rsidRDefault="00480DD8" w:rsidP="00480DD8">
            <w:pPr>
              <w:spacing w:after="0" w:line="240" w:lineRule="auto"/>
              <w:jc w:val="center"/>
              <w:rPr>
                <w:rFonts w:ascii="Times New Roman" w:eastAsia="Times New Roman" w:hAnsi="Times New Roman" w:cs="Times New Roman"/>
                <w:b/>
                <w:color w:val="000000"/>
                <w:sz w:val="24"/>
                <w:szCs w:val="20"/>
                <w:lang w:eastAsia="ru-RU"/>
              </w:rPr>
            </w:pPr>
            <w:r w:rsidRPr="00480DD8">
              <w:rPr>
                <w:rFonts w:ascii="Times New Roman" w:eastAsia="Times New Roman" w:hAnsi="Times New Roman" w:cs="Times New Roman"/>
                <w:b/>
                <w:color w:val="000000"/>
                <w:sz w:val="24"/>
                <w:szCs w:val="20"/>
                <w:lang w:eastAsia="ru-RU"/>
              </w:rPr>
              <w:t>2009</w:t>
            </w:r>
          </w:p>
        </w:tc>
        <w:tc>
          <w:tcPr>
            <w:tcW w:w="1066" w:type="dxa"/>
          </w:tcPr>
          <w:p w:rsidR="00480DD8" w:rsidRPr="00480DD8" w:rsidRDefault="00480DD8" w:rsidP="00480DD8">
            <w:pPr>
              <w:spacing w:after="0" w:line="240" w:lineRule="auto"/>
              <w:jc w:val="center"/>
              <w:rPr>
                <w:rFonts w:ascii="Times New Roman" w:eastAsia="Times New Roman" w:hAnsi="Times New Roman" w:cs="Times New Roman"/>
                <w:b/>
                <w:color w:val="000000"/>
                <w:sz w:val="24"/>
                <w:szCs w:val="20"/>
                <w:lang w:eastAsia="ru-RU"/>
              </w:rPr>
            </w:pPr>
            <w:r w:rsidRPr="00480DD8">
              <w:rPr>
                <w:rFonts w:ascii="Times New Roman" w:eastAsia="Times New Roman" w:hAnsi="Times New Roman" w:cs="Times New Roman"/>
                <w:b/>
                <w:color w:val="000000"/>
                <w:sz w:val="24"/>
                <w:szCs w:val="20"/>
                <w:lang w:eastAsia="ru-RU"/>
              </w:rPr>
              <w:t>2010</w:t>
            </w:r>
          </w:p>
        </w:tc>
        <w:tc>
          <w:tcPr>
            <w:tcW w:w="1066" w:type="dxa"/>
          </w:tcPr>
          <w:p w:rsidR="00480DD8" w:rsidRPr="00480DD8" w:rsidRDefault="00480DD8" w:rsidP="00480DD8">
            <w:pPr>
              <w:spacing w:after="0" w:line="240" w:lineRule="auto"/>
              <w:jc w:val="center"/>
              <w:rPr>
                <w:rFonts w:ascii="Times New Roman" w:eastAsia="Times New Roman" w:hAnsi="Times New Roman" w:cs="Times New Roman"/>
                <w:b/>
                <w:color w:val="000000"/>
                <w:sz w:val="24"/>
                <w:szCs w:val="20"/>
                <w:lang w:eastAsia="ru-RU"/>
              </w:rPr>
            </w:pPr>
            <w:r w:rsidRPr="00480DD8">
              <w:rPr>
                <w:rFonts w:ascii="Times New Roman" w:eastAsia="Times New Roman" w:hAnsi="Times New Roman" w:cs="Times New Roman"/>
                <w:b/>
                <w:color w:val="000000"/>
                <w:sz w:val="24"/>
                <w:szCs w:val="20"/>
                <w:lang w:eastAsia="ru-RU"/>
              </w:rPr>
              <w:t>2011</w:t>
            </w:r>
          </w:p>
        </w:tc>
        <w:tc>
          <w:tcPr>
            <w:tcW w:w="1066" w:type="dxa"/>
          </w:tcPr>
          <w:p w:rsidR="00480DD8" w:rsidRPr="00480DD8" w:rsidRDefault="00480DD8" w:rsidP="00480DD8">
            <w:pPr>
              <w:spacing w:after="0" w:line="240" w:lineRule="auto"/>
              <w:jc w:val="center"/>
              <w:rPr>
                <w:rFonts w:ascii="Times New Roman" w:eastAsia="Times New Roman" w:hAnsi="Times New Roman" w:cs="Times New Roman"/>
                <w:b/>
                <w:color w:val="000000"/>
                <w:sz w:val="24"/>
                <w:szCs w:val="20"/>
                <w:lang w:eastAsia="ru-RU"/>
              </w:rPr>
            </w:pPr>
            <w:r w:rsidRPr="00480DD8">
              <w:rPr>
                <w:rFonts w:ascii="Times New Roman" w:eastAsia="Times New Roman" w:hAnsi="Times New Roman" w:cs="Times New Roman"/>
                <w:b/>
                <w:color w:val="000000"/>
                <w:sz w:val="24"/>
                <w:szCs w:val="20"/>
                <w:lang w:eastAsia="ru-RU"/>
              </w:rPr>
              <w:t>2012</w:t>
            </w:r>
          </w:p>
        </w:tc>
        <w:tc>
          <w:tcPr>
            <w:tcW w:w="1066" w:type="dxa"/>
          </w:tcPr>
          <w:p w:rsidR="00480DD8" w:rsidRPr="00480DD8" w:rsidRDefault="00480DD8" w:rsidP="00480DD8">
            <w:pPr>
              <w:spacing w:after="0" w:line="240" w:lineRule="auto"/>
              <w:jc w:val="center"/>
              <w:rPr>
                <w:rFonts w:ascii="Times New Roman" w:eastAsia="Times New Roman" w:hAnsi="Times New Roman" w:cs="Times New Roman"/>
                <w:b/>
                <w:color w:val="000000"/>
                <w:sz w:val="24"/>
                <w:szCs w:val="20"/>
                <w:lang w:eastAsia="ru-RU"/>
              </w:rPr>
            </w:pPr>
            <w:r w:rsidRPr="00480DD8">
              <w:rPr>
                <w:rFonts w:ascii="Times New Roman" w:eastAsia="Times New Roman" w:hAnsi="Times New Roman" w:cs="Times New Roman"/>
                <w:b/>
                <w:color w:val="000000"/>
                <w:sz w:val="24"/>
                <w:szCs w:val="20"/>
                <w:lang w:eastAsia="ru-RU"/>
              </w:rPr>
              <w:t>2013</w:t>
            </w:r>
          </w:p>
        </w:tc>
      </w:tr>
      <w:tr w:rsidR="00480DD8" w:rsidRPr="00480DD8" w:rsidTr="00331F77">
        <w:tc>
          <w:tcPr>
            <w:tcW w:w="1066"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86,7</w:t>
            </w:r>
          </w:p>
        </w:tc>
        <w:tc>
          <w:tcPr>
            <w:tcW w:w="1066"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83,7</w:t>
            </w:r>
          </w:p>
        </w:tc>
        <w:tc>
          <w:tcPr>
            <w:tcW w:w="1066"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86,2</w:t>
            </w:r>
          </w:p>
        </w:tc>
        <w:tc>
          <w:tcPr>
            <w:tcW w:w="1066"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92,4</w:t>
            </w:r>
          </w:p>
        </w:tc>
        <w:tc>
          <w:tcPr>
            <w:tcW w:w="1066"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97,7</w:t>
            </w:r>
          </w:p>
        </w:tc>
        <w:tc>
          <w:tcPr>
            <w:tcW w:w="1066"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104,2</w:t>
            </w:r>
          </w:p>
        </w:tc>
      </w:tr>
    </w:tbl>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У період 2008-2012 рр. динаміка зростання виручки серед ключових гравців стає більш інтенсивною у сегменті бізнес-консалтингу. Також простежується зростання обсягів послуг  IT-консалтингу (табл. 3.3.).</w:t>
      </w:r>
    </w:p>
    <w:p w:rsidR="00480DD8" w:rsidRPr="00480DD8" w:rsidRDefault="00480DD8" w:rsidP="00480DD8">
      <w:pPr>
        <w:spacing w:after="0" w:line="240" w:lineRule="auto"/>
        <w:ind w:firstLine="567"/>
        <w:jc w:val="right"/>
        <w:rPr>
          <w:rFonts w:ascii="Times New Roman" w:eastAsia="Times New Roman" w:hAnsi="Times New Roman" w:cs="Times New Roman"/>
          <w:i/>
          <w:color w:val="000000"/>
          <w:sz w:val="24"/>
          <w:szCs w:val="20"/>
          <w:lang w:eastAsia="ru-RU"/>
        </w:rPr>
      </w:pPr>
      <w:r w:rsidRPr="00480DD8">
        <w:rPr>
          <w:rFonts w:ascii="Times New Roman" w:eastAsia="Times New Roman" w:hAnsi="Times New Roman" w:cs="Times New Roman"/>
          <w:i/>
          <w:color w:val="000000"/>
          <w:sz w:val="24"/>
          <w:szCs w:val="20"/>
          <w:lang w:eastAsia="ru-RU"/>
        </w:rPr>
        <w:t>Таблиця 3.3</w:t>
      </w:r>
    </w:p>
    <w:p w:rsidR="00480DD8" w:rsidRPr="00480DD8" w:rsidRDefault="00480DD8" w:rsidP="00480DD8">
      <w:pPr>
        <w:spacing w:after="0" w:line="240" w:lineRule="auto"/>
        <w:ind w:firstLine="567"/>
        <w:jc w:val="center"/>
        <w:rPr>
          <w:rFonts w:ascii="Times New Roman" w:eastAsia="Times New Roman" w:hAnsi="Times New Roman" w:cs="Times New Roman"/>
          <w:b/>
          <w:color w:val="000000"/>
          <w:sz w:val="24"/>
          <w:szCs w:val="20"/>
          <w:lang w:eastAsia="ru-RU"/>
        </w:rPr>
      </w:pPr>
      <w:r w:rsidRPr="00480DD8">
        <w:rPr>
          <w:rFonts w:ascii="Times New Roman" w:eastAsia="Times New Roman" w:hAnsi="Times New Roman" w:cs="Times New Roman"/>
          <w:b/>
          <w:color w:val="000000"/>
          <w:sz w:val="24"/>
          <w:szCs w:val="20"/>
          <w:lang w:eastAsia="ru-RU"/>
        </w:rPr>
        <w:t xml:space="preserve">Розподіл послуг на ринку консалтингу Європи, % </w:t>
      </w:r>
      <w:r w:rsidRPr="00480DD8">
        <w:rPr>
          <w:rFonts w:ascii="Times New Roman" w:eastAsia="Times New Roman" w:hAnsi="Times New Roman" w:cs="Times New Roman"/>
          <w:color w:val="000000"/>
          <w:sz w:val="24"/>
          <w:szCs w:val="20"/>
          <w:lang w:eastAsia="ru-RU"/>
        </w:rPr>
        <w:t>(складено за даними [</w:t>
      </w:r>
      <w:r w:rsidRPr="00480DD8">
        <w:rPr>
          <w:rFonts w:ascii="Times New Roman" w:eastAsia="Times New Roman" w:hAnsi="Times New Roman" w:cs="Times New Roman"/>
          <w:color w:val="000000"/>
          <w:sz w:val="24"/>
          <w:szCs w:val="20"/>
          <w:lang w:eastAsia="ru-RU"/>
        </w:rPr>
        <w:fldChar w:fldCharType="begin"/>
      </w:r>
      <w:r w:rsidRPr="00480DD8">
        <w:rPr>
          <w:rFonts w:ascii="Times New Roman" w:eastAsia="Times New Roman" w:hAnsi="Times New Roman" w:cs="Times New Roman"/>
          <w:color w:val="000000"/>
          <w:sz w:val="24"/>
          <w:szCs w:val="20"/>
          <w:lang w:eastAsia="ru-RU"/>
        </w:rPr>
        <w:instrText xml:space="preserve"> REF _Ref439522880 \r \h  \* MERGEFORMAT </w:instrText>
      </w:r>
      <w:r w:rsidRPr="00480DD8">
        <w:rPr>
          <w:rFonts w:ascii="Times New Roman" w:eastAsia="Times New Roman" w:hAnsi="Times New Roman" w:cs="Times New Roman"/>
          <w:color w:val="000000"/>
          <w:sz w:val="24"/>
          <w:szCs w:val="20"/>
          <w:lang w:eastAsia="ru-RU"/>
        </w:rPr>
      </w:r>
      <w:r w:rsidRPr="00480DD8">
        <w:rPr>
          <w:rFonts w:ascii="Times New Roman" w:eastAsia="Times New Roman" w:hAnsi="Times New Roman" w:cs="Times New Roman"/>
          <w:color w:val="000000"/>
          <w:sz w:val="24"/>
          <w:szCs w:val="20"/>
          <w:lang w:eastAsia="ru-RU"/>
        </w:rPr>
        <w:fldChar w:fldCharType="separate"/>
      </w:r>
      <w:r w:rsidRPr="00480DD8">
        <w:rPr>
          <w:rFonts w:ascii="Times New Roman" w:eastAsia="Times New Roman" w:hAnsi="Times New Roman" w:cs="Times New Roman"/>
          <w:color w:val="000000"/>
          <w:sz w:val="24"/>
          <w:szCs w:val="20"/>
          <w:lang w:eastAsia="ru-RU"/>
        </w:rPr>
        <w:t>55</w:t>
      </w:r>
      <w:r w:rsidRPr="00480DD8">
        <w:rPr>
          <w:rFonts w:ascii="Times New Roman" w:eastAsia="Times New Roman" w:hAnsi="Times New Roman" w:cs="Times New Roman"/>
          <w:color w:val="000000"/>
          <w:sz w:val="24"/>
          <w:szCs w:val="20"/>
          <w:lang w:eastAsia="ru-RU"/>
        </w:rPr>
        <w:fldChar w:fldCharType="end"/>
      </w:r>
      <w:r w:rsidRPr="00480DD8">
        <w:rPr>
          <w:rFonts w:ascii="Times New Roman" w:eastAsia="Times New Roman" w:hAnsi="Times New Roman" w:cs="Times New Roman"/>
          <w:color w:val="000000"/>
          <w:sz w:val="24"/>
          <w:szCs w:val="20"/>
          <w:lang w:eastAsia="ru-RU"/>
        </w:rPr>
        <w:t>, c.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3612"/>
        <w:gridCol w:w="696"/>
        <w:gridCol w:w="696"/>
        <w:gridCol w:w="696"/>
        <w:gridCol w:w="696"/>
      </w:tblGrid>
      <w:tr w:rsidR="00480DD8" w:rsidRPr="00480DD8" w:rsidTr="00331F77">
        <w:tc>
          <w:tcPr>
            <w:tcW w:w="3612" w:type="dxa"/>
          </w:tcPr>
          <w:p w:rsidR="00480DD8" w:rsidRPr="00480DD8" w:rsidRDefault="00480DD8" w:rsidP="00480DD8">
            <w:pPr>
              <w:spacing w:after="0" w:line="240" w:lineRule="auto"/>
              <w:jc w:val="center"/>
              <w:rPr>
                <w:rFonts w:ascii="Times New Roman" w:eastAsia="Times New Roman" w:hAnsi="Times New Roman" w:cs="Times New Roman"/>
                <w:b/>
                <w:color w:val="000000"/>
                <w:sz w:val="24"/>
                <w:szCs w:val="20"/>
                <w:lang w:eastAsia="ru-RU"/>
              </w:rPr>
            </w:pPr>
            <w:r w:rsidRPr="00480DD8">
              <w:rPr>
                <w:rFonts w:ascii="Times New Roman" w:eastAsia="Times New Roman" w:hAnsi="Times New Roman" w:cs="Times New Roman"/>
                <w:b/>
                <w:color w:val="000000"/>
                <w:sz w:val="24"/>
                <w:szCs w:val="20"/>
                <w:lang w:eastAsia="ru-RU"/>
              </w:rPr>
              <w:t>Послуги</w:t>
            </w:r>
          </w:p>
        </w:tc>
        <w:tc>
          <w:tcPr>
            <w:tcW w:w="696" w:type="dxa"/>
          </w:tcPr>
          <w:p w:rsidR="00480DD8" w:rsidRPr="00480DD8" w:rsidRDefault="00480DD8" w:rsidP="00480DD8">
            <w:pPr>
              <w:spacing w:after="0" w:line="240" w:lineRule="auto"/>
              <w:jc w:val="center"/>
              <w:rPr>
                <w:rFonts w:ascii="Times New Roman" w:eastAsia="Times New Roman" w:hAnsi="Times New Roman" w:cs="Times New Roman"/>
                <w:b/>
                <w:color w:val="000000"/>
                <w:sz w:val="24"/>
                <w:szCs w:val="20"/>
                <w:lang w:eastAsia="ru-RU"/>
              </w:rPr>
            </w:pPr>
            <w:r w:rsidRPr="00480DD8">
              <w:rPr>
                <w:rFonts w:ascii="Times New Roman" w:eastAsia="Times New Roman" w:hAnsi="Times New Roman" w:cs="Times New Roman"/>
                <w:b/>
                <w:color w:val="000000"/>
                <w:sz w:val="24"/>
                <w:szCs w:val="20"/>
                <w:lang w:eastAsia="ru-RU"/>
              </w:rPr>
              <w:t>2008</w:t>
            </w:r>
          </w:p>
        </w:tc>
        <w:tc>
          <w:tcPr>
            <w:tcW w:w="696" w:type="dxa"/>
          </w:tcPr>
          <w:p w:rsidR="00480DD8" w:rsidRPr="00480DD8" w:rsidRDefault="00480DD8" w:rsidP="00480DD8">
            <w:pPr>
              <w:spacing w:after="0" w:line="240" w:lineRule="auto"/>
              <w:jc w:val="center"/>
              <w:rPr>
                <w:rFonts w:ascii="Times New Roman" w:eastAsia="Times New Roman" w:hAnsi="Times New Roman" w:cs="Times New Roman"/>
                <w:b/>
                <w:color w:val="000000"/>
                <w:sz w:val="24"/>
                <w:szCs w:val="20"/>
                <w:lang w:eastAsia="ru-RU"/>
              </w:rPr>
            </w:pPr>
            <w:r w:rsidRPr="00480DD8">
              <w:rPr>
                <w:rFonts w:ascii="Times New Roman" w:eastAsia="Times New Roman" w:hAnsi="Times New Roman" w:cs="Times New Roman"/>
                <w:b/>
                <w:color w:val="000000"/>
                <w:sz w:val="24"/>
                <w:szCs w:val="20"/>
                <w:lang w:eastAsia="ru-RU"/>
              </w:rPr>
              <w:t>2009</w:t>
            </w:r>
          </w:p>
        </w:tc>
        <w:tc>
          <w:tcPr>
            <w:tcW w:w="696" w:type="dxa"/>
          </w:tcPr>
          <w:p w:rsidR="00480DD8" w:rsidRPr="00480DD8" w:rsidRDefault="00480DD8" w:rsidP="00480DD8">
            <w:pPr>
              <w:spacing w:after="0" w:line="240" w:lineRule="auto"/>
              <w:jc w:val="center"/>
              <w:rPr>
                <w:rFonts w:ascii="Times New Roman" w:eastAsia="Times New Roman" w:hAnsi="Times New Roman" w:cs="Times New Roman"/>
                <w:b/>
                <w:color w:val="000000"/>
                <w:sz w:val="24"/>
                <w:szCs w:val="20"/>
                <w:lang w:eastAsia="ru-RU"/>
              </w:rPr>
            </w:pPr>
            <w:r w:rsidRPr="00480DD8">
              <w:rPr>
                <w:rFonts w:ascii="Times New Roman" w:eastAsia="Times New Roman" w:hAnsi="Times New Roman" w:cs="Times New Roman"/>
                <w:b/>
                <w:color w:val="000000"/>
                <w:sz w:val="24"/>
                <w:szCs w:val="20"/>
                <w:lang w:eastAsia="ru-RU"/>
              </w:rPr>
              <w:t>2010</w:t>
            </w:r>
          </w:p>
        </w:tc>
        <w:tc>
          <w:tcPr>
            <w:tcW w:w="696" w:type="dxa"/>
          </w:tcPr>
          <w:p w:rsidR="00480DD8" w:rsidRPr="00480DD8" w:rsidRDefault="00480DD8" w:rsidP="00480DD8">
            <w:pPr>
              <w:spacing w:after="0" w:line="240" w:lineRule="auto"/>
              <w:jc w:val="center"/>
              <w:rPr>
                <w:rFonts w:ascii="Times New Roman" w:eastAsia="Times New Roman" w:hAnsi="Times New Roman" w:cs="Times New Roman"/>
                <w:b/>
                <w:color w:val="000000"/>
                <w:sz w:val="24"/>
                <w:szCs w:val="20"/>
                <w:lang w:eastAsia="ru-RU"/>
              </w:rPr>
            </w:pPr>
            <w:r w:rsidRPr="00480DD8">
              <w:rPr>
                <w:rFonts w:ascii="Times New Roman" w:eastAsia="Times New Roman" w:hAnsi="Times New Roman" w:cs="Times New Roman"/>
                <w:b/>
                <w:color w:val="000000"/>
                <w:sz w:val="24"/>
                <w:szCs w:val="20"/>
                <w:lang w:eastAsia="ru-RU"/>
              </w:rPr>
              <w:t>2011</w:t>
            </w:r>
          </w:p>
        </w:tc>
      </w:tr>
      <w:tr w:rsidR="00480DD8" w:rsidRPr="00480DD8" w:rsidTr="00331F77">
        <w:tc>
          <w:tcPr>
            <w:tcW w:w="3612"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Бізнес консалтинг</w:t>
            </w:r>
          </w:p>
        </w:tc>
        <w:tc>
          <w:tcPr>
            <w:tcW w:w="696"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42</w:t>
            </w:r>
          </w:p>
        </w:tc>
        <w:tc>
          <w:tcPr>
            <w:tcW w:w="696"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43</w:t>
            </w:r>
          </w:p>
        </w:tc>
        <w:tc>
          <w:tcPr>
            <w:tcW w:w="696"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50</w:t>
            </w:r>
          </w:p>
        </w:tc>
        <w:tc>
          <w:tcPr>
            <w:tcW w:w="696"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52</w:t>
            </w:r>
          </w:p>
        </w:tc>
      </w:tr>
      <w:tr w:rsidR="00480DD8" w:rsidRPr="00480DD8" w:rsidTr="00331F77">
        <w:tc>
          <w:tcPr>
            <w:tcW w:w="3612" w:type="dxa"/>
          </w:tcPr>
          <w:p w:rsidR="00480DD8" w:rsidRPr="00480DD8" w:rsidRDefault="00480DD8" w:rsidP="00480DD8">
            <w:pPr>
              <w:spacing w:after="0" w:line="240" w:lineRule="auto"/>
              <w:jc w:val="center"/>
              <w:rPr>
                <w:rFonts w:ascii="Times New Roman" w:eastAsia="Times New Roman" w:hAnsi="Times New Roman" w:cs="Times New Roman"/>
                <w:b/>
                <w:color w:val="000000"/>
                <w:sz w:val="24"/>
                <w:szCs w:val="20"/>
                <w:lang w:eastAsia="ru-RU"/>
              </w:rPr>
            </w:pPr>
            <w:r w:rsidRPr="00480DD8">
              <w:rPr>
                <w:rFonts w:ascii="Times New Roman" w:eastAsia="Times New Roman" w:hAnsi="Times New Roman" w:cs="Times New Roman"/>
                <w:color w:val="000000"/>
                <w:sz w:val="24"/>
                <w:szCs w:val="20"/>
                <w:lang w:eastAsia="ru-RU"/>
              </w:rPr>
              <w:t>IT-консалтинг</w:t>
            </w:r>
          </w:p>
        </w:tc>
        <w:tc>
          <w:tcPr>
            <w:tcW w:w="696"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14</w:t>
            </w:r>
          </w:p>
        </w:tc>
        <w:tc>
          <w:tcPr>
            <w:tcW w:w="696"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14</w:t>
            </w:r>
          </w:p>
        </w:tc>
        <w:tc>
          <w:tcPr>
            <w:tcW w:w="696"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15</w:t>
            </w:r>
          </w:p>
        </w:tc>
        <w:tc>
          <w:tcPr>
            <w:tcW w:w="696"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19</w:t>
            </w:r>
          </w:p>
        </w:tc>
      </w:tr>
      <w:tr w:rsidR="00480DD8" w:rsidRPr="00480DD8" w:rsidTr="00331F77">
        <w:tc>
          <w:tcPr>
            <w:tcW w:w="3612" w:type="dxa"/>
          </w:tcPr>
          <w:p w:rsidR="00480DD8" w:rsidRPr="00480DD8" w:rsidRDefault="00480DD8" w:rsidP="00480DD8">
            <w:pPr>
              <w:spacing w:after="0" w:line="240" w:lineRule="auto"/>
              <w:jc w:val="center"/>
              <w:rPr>
                <w:rFonts w:ascii="Times New Roman" w:eastAsia="Times New Roman" w:hAnsi="Times New Roman" w:cs="Times New Roman"/>
                <w:b/>
                <w:color w:val="000000"/>
                <w:sz w:val="24"/>
                <w:szCs w:val="20"/>
                <w:lang w:eastAsia="ru-RU"/>
              </w:rPr>
            </w:pPr>
            <w:proofErr w:type="spellStart"/>
            <w:r w:rsidRPr="00480DD8">
              <w:rPr>
                <w:rFonts w:ascii="Times New Roman" w:eastAsia="Times New Roman" w:hAnsi="Times New Roman" w:cs="Times New Roman"/>
                <w:color w:val="000000"/>
                <w:sz w:val="24"/>
                <w:szCs w:val="20"/>
                <w:lang w:eastAsia="ru-RU"/>
              </w:rPr>
              <w:t>Девелопмент</w:t>
            </w:r>
            <w:proofErr w:type="spellEnd"/>
            <w:r w:rsidRPr="00480DD8">
              <w:rPr>
                <w:rFonts w:ascii="Times New Roman" w:eastAsia="Times New Roman" w:hAnsi="Times New Roman" w:cs="Times New Roman"/>
                <w:color w:val="000000"/>
                <w:sz w:val="24"/>
                <w:szCs w:val="20"/>
                <w:lang w:eastAsia="ru-RU"/>
              </w:rPr>
              <w:t xml:space="preserve"> &amp; Інтеграція</w:t>
            </w:r>
          </w:p>
        </w:tc>
        <w:tc>
          <w:tcPr>
            <w:tcW w:w="696"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21</w:t>
            </w:r>
          </w:p>
        </w:tc>
        <w:tc>
          <w:tcPr>
            <w:tcW w:w="696"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18</w:t>
            </w:r>
          </w:p>
        </w:tc>
        <w:tc>
          <w:tcPr>
            <w:tcW w:w="696"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19</w:t>
            </w:r>
          </w:p>
        </w:tc>
        <w:tc>
          <w:tcPr>
            <w:tcW w:w="696"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10</w:t>
            </w:r>
          </w:p>
        </w:tc>
      </w:tr>
      <w:tr w:rsidR="00480DD8" w:rsidRPr="00480DD8" w:rsidTr="00331F77">
        <w:tc>
          <w:tcPr>
            <w:tcW w:w="3612" w:type="dxa"/>
          </w:tcPr>
          <w:p w:rsidR="00480DD8" w:rsidRPr="00480DD8" w:rsidRDefault="00480DD8" w:rsidP="00480DD8">
            <w:pPr>
              <w:spacing w:after="0" w:line="240" w:lineRule="auto"/>
              <w:jc w:val="center"/>
              <w:rPr>
                <w:rFonts w:ascii="Times New Roman" w:eastAsia="Times New Roman" w:hAnsi="Times New Roman" w:cs="Times New Roman"/>
                <w:b/>
                <w:color w:val="000000"/>
                <w:sz w:val="24"/>
                <w:szCs w:val="20"/>
                <w:lang w:eastAsia="ru-RU"/>
              </w:rPr>
            </w:pPr>
            <w:proofErr w:type="spellStart"/>
            <w:r w:rsidRPr="00480DD8">
              <w:rPr>
                <w:rFonts w:ascii="Times New Roman" w:eastAsia="Times New Roman" w:hAnsi="Times New Roman" w:cs="Times New Roman"/>
                <w:color w:val="000000"/>
                <w:sz w:val="24"/>
                <w:szCs w:val="20"/>
                <w:lang w:eastAsia="ru-RU"/>
              </w:rPr>
              <w:t>Аутсорсінг</w:t>
            </w:r>
            <w:proofErr w:type="spellEnd"/>
          </w:p>
        </w:tc>
        <w:tc>
          <w:tcPr>
            <w:tcW w:w="696"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17</w:t>
            </w:r>
          </w:p>
        </w:tc>
        <w:tc>
          <w:tcPr>
            <w:tcW w:w="696"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19</w:t>
            </w:r>
          </w:p>
        </w:tc>
        <w:tc>
          <w:tcPr>
            <w:tcW w:w="696"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12</w:t>
            </w:r>
          </w:p>
        </w:tc>
        <w:tc>
          <w:tcPr>
            <w:tcW w:w="696"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9</w:t>
            </w:r>
          </w:p>
        </w:tc>
      </w:tr>
      <w:tr w:rsidR="00480DD8" w:rsidRPr="00480DD8" w:rsidTr="00331F77">
        <w:tc>
          <w:tcPr>
            <w:tcW w:w="3612"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Інші види</w:t>
            </w:r>
          </w:p>
        </w:tc>
        <w:tc>
          <w:tcPr>
            <w:tcW w:w="696"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6</w:t>
            </w:r>
          </w:p>
        </w:tc>
        <w:tc>
          <w:tcPr>
            <w:tcW w:w="696"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6</w:t>
            </w:r>
          </w:p>
        </w:tc>
        <w:tc>
          <w:tcPr>
            <w:tcW w:w="696"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4</w:t>
            </w:r>
          </w:p>
        </w:tc>
        <w:tc>
          <w:tcPr>
            <w:tcW w:w="696"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10</w:t>
            </w:r>
          </w:p>
        </w:tc>
      </w:tr>
    </w:tbl>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Існує  певна закономірність у поділі обсягу консалтингових послуг у світі. При однаковому розмірі економічного потенціалу регіонів, обсяг консалтингових послуг більший у тому регіоні, де є меншим державне втручання в економіку. Така кореляція пояснюється тим, що консалтинг являє собою своєрідну форму регулювання економічних процесів, альтернативну централізованій. </w:t>
      </w:r>
    </w:p>
    <w:p w:rsidR="00480DD8" w:rsidRPr="00480DD8" w:rsidRDefault="00480DD8" w:rsidP="00480DD8">
      <w:pPr>
        <w:spacing w:after="0" w:line="240" w:lineRule="auto"/>
        <w:ind w:firstLine="709"/>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Міжнародне консультування належить більшою мірою до ринку сектору «</w:t>
      </w:r>
      <w:proofErr w:type="spellStart"/>
      <w:r w:rsidRPr="00480DD8">
        <w:rPr>
          <w:rFonts w:ascii="Times New Roman" w:eastAsia="Times New Roman" w:hAnsi="Times New Roman" w:cs="Times New Roman"/>
          <w:color w:val="000000"/>
          <w:sz w:val="24"/>
          <w:szCs w:val="20"/>
          <w:lang w:eastAsia="ru-RU"/>
        </w:rPr>
        <w:t>business</w:t>
      </w:r>
      <w:proofErr w:type="spellEnd"/>
      <w:r w:rsidRPr="00480DD8">
        <w:rPr>
          <w:rFonts w:ascii="Times New Roman" w:eastAsia="Times New Roman" w:hAnsi="Times New Roman" w:cs="Times New Roman"/>
          <w:color w:val="000000"/>
          <w:sz w:val="24"/>
          <w:szCs w:val="20"/>
          <w:lang w:eastAsia="ru-RU"/>
        </w:rPr>
        <w:t xml:space="preserve"> </w:t>
      </w:r>
      <w:proofErr w:type="spellStart"/>
      <w:r w:rsidRPr="00480DD8">
        <w:rPr>
          <w:rFonts w:ascii="Times New Roman" w:eastAsia="Times New Roman" w:hAnsi="Times New Roman" w:cs="Times New Roman"/>
          <w:color w:val="000000"/>
          <w:sz w:val="24"/>
          <w:szCs w:val="20"/>
          <w:lang w:eastAsia="ru-RU"/>
        </w:rPr>
        <w:t>to</w:t>
      </w:r>
      <w:proofErr w:type="spellEnd"/>
      <w:r w:rsidRPr="00480DD8">
        <w:rPr>
          <w:rFonts w:ascii="Times New Roman" w:eastAsia="Times New Roman" w:hAnsi="Times New Roman" w:cs="Times New Roman"/>
          <w:color w:val="000000"/>
          <w:sz w:val="24"/>
          <w:szCs w:val="20"/>
          <w:lang w:eastAsia="ru-RU"/>
        </w:rPr>
        <w:t xml:space="preserve"> </w:t>
      </w:r>
      <w:proofErr w:type="spellStart"/>
      <w:r w:rsidRPr="00480DD8">
        <w:rPr>
          <w:rFonts w:ascii="Times New Roman" w:eastAsia="Times New Roman" w:hAnsi="Times New Roman" w:cs="Times New Roman"/>
          <w:color w:val="000000"/>
          <w:sz w:val="24"/>
          <w:szCs w:val="20"/>
          <w:lang w:eastAsia="ru-RU"/>
        </w:rPr>
        <w:t>business</w:t>
      </w:r>
      <w:proofErr w:type="spellEnd"/>
      <w:r w:rsidRPr="00480DD8">
        <w:rPr>
          <w:rFonts w:ascii="Times New Roman" w:eastAsia="Times New Roman" w:hAnsi="Times New Roman" w:cs="Times New Roman"/>
          <w:color w:val="000000"/>
          <w:sz w:val="24"/>
          <w:szCs w:val="20"/>
          <w:lang w:eastAsia="ru-RU"/>
        </w:rPr>
        <w:t xml:space="preserve">», тому тут в основному взаємодіють юридичні особи. Проте власники та топ-менеджери клієнтських організацій мають особисту зацікавленість у результативності консалтингового процесу: у підвищенні ефективності бізнесу компанії вони вбачають професійну самореалізацію. Відтак, можна визначити </w:t>
      </w:r>
      <w:r w:rsidRPr="00480DD8">
        <w:rPr>
          <w:rFonts w:ascii="Times New Roman" w:eastAsia="Times New Roman" w:hAnsi="Times New Roman" w:cs="Times New Roman"/>
          <w:i/>
          <w:color w:val="000000"/>
          <w:sz w:val="24"/>
          <w:szCs w:val="20"/>
          <w:lang w:eastAsia="ru-RU"/>
        </w:rPr>
        <w:t>коло можливих потреб</w:t>
      </w:r>
      <w:r w:rsidRPr="00480DD8">
        <w:rPr>
          <w:rFonts w:ascii="Times New Roman" w:eastAsia="Times New Roman" w:hAnsi="Times New Roman" w:cs="Times New Roman"/>
          <w:color w:val="000000"/>
          <w:sz w:val="24"/>
          <w:szCs w:val="20"/>
          <w:lang w:eastAsia="ru-RU"/>
        </w:rPr>
        <w:t xml:space="preserve"> замовників консалтингових послуг: </w:t>
      </w:r>
    </w:p>
    <w:p w:rsidR="00480DD8" w:rsidRPr="00480DD8" w:rsidRDefault="00480DD8" w:rsidP="00480DD8">
      <w:pPr>
        <w:numPr>
          <w:ilvl w:val="0"/>
          <w:numId w:val="4"/>
        </w:numPr>
        <w:spacing w:after="0" w:line="240" w:lineRule="auto"/>
        <w:ind w:firstLine="284"/>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покращення іміджу (як клієнтської організації, так і власника/управлінця); </w:t>
      </w:r>
    </w:p>
    <w:p w:rsidR="00480DD8" w:rsidRPr="00480DD8" w:rsidRDefault="00480DD8" w:rsidP="00480DD8">
      <w:pPr>
        <w:numPr>
          <w:ilvl w:val="0"/>
          <w:numId w:val="4"/>
        </w:numPr>
        <w:spacing w:after="0" w:line="240" w:lineRule="auto"/>
        <w:ind w:firstLine="284"/>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підвищення рівня прибутковості;</w:t>
      </w:r>
    </w:p>
    <w:p w:rsidR="00480DD8" w:rsidRPr="00480DD8" w:rsidRDefault="00480DD8" w:rsidP="00480DD8">
      <w:pPr>
        <w:numPr>
          <w:ilvl w:val="0"/>
          <w:numId w:val="4"/>
        </w:numPr>
        <w:spacing w:after="0" w:line="240" w:lineRule="auto"/>
        <w:ind w:firstLine="284"/>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досягнення статусу надійного партнера; </w:t>
      </w:r>
    </w:p>
    <w:p w:rsidR="00480DD8" w:rsidRPr="00480DD8" w:rsidRDefault="00480DD8" w:rsidP="00480DD8">
      <w:pPr>
        <w:numPr>
          <w:ilvl w:val="0"/>
          <w:numId w:val="4"/>
        </w:numPr>
        <w:spacing w:after="0" w:line="240" w:lineRule="auto"/>
        <w:ind w:firstLine="284"/>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придбання нових знань, досвіду; </w:t>
      </w:r>
    </w:p>
    <w:p w:rsidR="00480DD8" w:rsidRPr="00480DD8" w:rsidRDefault="00480DD8" w:rsidP="00480DD8">
      <w:pPr>
        <w:numPr>
          <w:ilvl w:val="0"/>
          <w:numId w:val="4"/>
        </w:numPr>
        <w:spacing w:after="0" w:line="240" w:lineRule="auto"/>
        <w:ind w:firstLine="284"/>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підвищення ринкової вартості бізнесу; </w:t>
      </w:r>
    </w:p>
    <w:p w:rsidR="00480DD8" w:rsidRPr="00480DD8" w:rsidRDefault="00480DD8" w:rsidP="00480DD8">
      <w:pPr>
        <w:numPr>
          <w:ilvl w:val="0"/>
          <w:numId w:val="4"/>
        </w:numPr>
        <w:spacing w:after="0" w:line="240" w:lineRule="auto"/>
        <w:ind w:firstLine="284"/>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розвиток власної клієнтської бази (контактів наявних та потенційних клієнтів).</w:t>
      </w:r>
    </w:p>
    <w:p w:rsidR="00480DD8" w:rsidRPr="00480DD8" w:rsidRDefault="00480DD8" w:rsidP="00480DD8">
      <w:pPr>
        <w:spacing w:after="0" w:line="240" w:lineRule="auto"/>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ab/>
        <w:t xml:space="preserve">Із розвитком зовнішньоекономічних </w:t>
      </w:r>
      <w:proofErr w:type="spellStart"/>
      <w:r w:rsidRPr="00480DD8">
        <w:rPr>
          <w:rFonts w:ascii="Times New Roman" w:eastAsia="Times New Roman" w:hAnsi="Times New Roman" w:cs="Times New Roman"/>
          <w:color w:val="000000"/>
          <w:sz w:val="24"/>
          <w:szCs w:val="20"/>
          <w:lang w:eastAsia="ru-RU"/>
        </w:rPr>
        <w:t>зв’язків</w:t>
      </w:r>
      <w:proofErr w:type="spellEnd"/>
      <w:r w:rsidRPr="00480DD8">
        <w:rPr>
          <w:rFonts w:ascii="Times New Roman" w:eastAsia="Times New Roman" w:hAnsi="Times New Roman" w:cs="Times New Roman"/>
          <w:color w:val="000000"/>
          <w:sz w:val="24"/>
          <w:szCs w:val="20"/>
          <w:lang w:eastAsia="ru-RU"/>
        </w:rPr>
        <w:t xml:space="preserve"> консалтинг набуває глобальних характеристик, що визначають його актуальність та конкурентоспроможність. Основними новітніми тенденціями розвитку міжнародного консалтингу є  орієнтація на нові національні ринки, що швидко розвиваються, та залучення інтелектуальних технологій.</w:t>
      </w:r>
    </w:p>
    <w:p w:rsidR="00480DD8" w:rsidRPr="00480DD8" w:rsidRDefault="00480DD8" w:rsidP="00480DD8">
      <w:pPr>
        <w:keepNext/>
        <w:keepLines/>
        <w:spacing w:before="200" w:after="0" w:line="240" w:lineRule="auto"/>
        <w:ind w:firstLine="567"/>
        <w:jc w:val="both"/>
        <w:outlineLvl w:val="1"/>
        <w:rPr>
          <w:rFonts w:ascii="Times New Roman" w:eastAsia="Times New Roman" w:hAnsi="Times New Roman" w:cs="Times New Roman"/>
          <w:b/>
          <w:bCs/>
          <w:color w:val="000000"/>
          <w:sz w:val="24"/>
          <w:szCs w:val="26"/>
          <w:lang w:eastAsia="ru-RU"/>
        </w:rPr>
      </w:pPr>
      <w:bookmarkStart w:id="3" w:name="_Toc453179313"/>
    </w:p>
    <w:p w:rsidR="00480DD8" w:rsidRPr="00480DD8" w:rsidRDefault="00480DD8" w:rsidP="00480DD8">
      <w:pPr>
        <w:keepNext/>
        <w:keepLines/>
        <w:spacing w:before="200" w:after="0" w:line="240" w:lineRule="auto"/>
        <w:ind w:firstLine="567"/>
        <w:jc w:val="both"/>
        <w:outlineLvl w:val="1"/>
        <w:rPr>
          <w:rFonts w:ascii="Times New Roman" w:eastAsia="Times New Roman" w:hAnsi="Times New Roman" w:cs="Times New Roman"/>
          <w:b/>
          <w:bCs/>
          <w:color w:val="000000"/>
          <w:sz w:val="24"/>
          <w:szCs w:val="26"/>
          <w:lang w:eastAsia="ru-RU"/>
        </w:rPr>
      </w:pPr>
      <w:r w:rsidRPr="00480DD8">
        <w:rPr>
          <w:rFonts w:ascii="Times New Roman" w:eastAsia="Times New Roman" w:hAnsi="Times New Roman" w:cs="Times New Roman"/>
          <w:b/>
          <w:bCs/>
          <w:color w:val="000000"/>
          <w:sz w:val="24"/>
          <w:szCs w:val="26"/>
          <w:lang w:eastAsia="ru-RU"/>
        </w:rPr>
        <w:t>3.3. Сучасний світовий ринок консалтингових послуг</w:t>
      </w:r>
      <w:bookmarkEnd w:id="3"/>
    </w:p>
    <w:p w:rsidR="00480DD8" w:rsidRPr="00480DD8" w:rsidRDefault="00480DD8" w:rsidP="00480DD8">
      <w:pPr>
        <w:spacing w:after="0" w:line="240" w:lineRule="auto"/>
        <w:rPr>
          <w:rFonts w:ascii="Times New Roman" w:eastAsia="Times New Roman" w:hAnsi="Times New Roman" w:cs="Times New Roman"/>
          <w:b/>
          <w:color w:val="000000"/>
          <w:sz w:val="24"/>
          <w:szCs w:val="20"/>
          <w:lang w:eastAsia="ru-RU"/>
        </w:rPr>
      </w:pP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У світі налічується близько 1720 фірм, що спеціалізуються в області консалтингу. Відповідно до  параметрів чисельності фахівців і об’єму річного обороту послуг 40 фірм з цієї кількості можна вважати великими, 180 фірм – середніми, а 1500 фірм – дрібними.</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Наслідками глобалізаційних процесів на ринку консалтингових послуг є домінування великих транснаціональних консалтингових компаній, посилення конкуренції на ринку, переорієнтація ділової активності малих консалтингових компаній у сферу вирішення вузьких питань динамічних національних ринків, націлених на специфіку вітчизняної економіки.</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Транснаціональні корпорації справляють значний вплив на формування конкуренції на світовому ринку, визначаючи політику ціноутворення. Прикладом таких компаній є так звана «Велика четвірка»: «</w:t>
      </w:r>
      <w:proofErr w:type="spellStart"/>
      <w:r w:rsidRPr="00480DD8">
        <w:rPr>
          <w:rFonts w:ascii="Times New Roman" w:eastAsia="Times New Roman" w:hAnsi="Times New Roman" w:cs="Times New Roman"/>
          <w:color w:val="000000"/>
          <w:sz w:val="24"/>
          <w:szCs w:val="20"/>
          <w:lang w:eastAsia="ru-RU"/>
        </w:rPr>
        <w:t>PricewaterhouseCoopers</w:t>
      </w:r>
      <w:proofErr w:type="spellEnd"/>
      <w:r w:rsidRPr="00480DD8">
        <w:rPr>
          <w:rFonts w:ascii="Times New Roman" w:eastAsia="Times New Roman" w:hAnsi="Times New Roman" w:cs="Times New Roman"/>
          <w:color w:val="000000"/>
          <w:sz w:val="24"/>
          <w:szCs w:val="20"/>
          <w:lang w:eastAsia="ru-RU"/>
        </w:rPr>
        <w:t>», «</w:t>
      </w:r>
      <w:proofErr w:type="spellStart"/>
      <w:r w:rsidRPr="00480DD8">
        <w:rPr>
          <w:rFonts w:ascii="Times New Roman" w:eastAsia="Times New Roman" w:hAnsi="Times New Roman" w:cs="Times New Roman"/>
          <w:color w:val="000000"/>
          <w:sz w:val="24"/>
          <w:szCs w:val="20"/>
          <w:lang w:eastAsia="ru-RU"/>
        </w:rPr>
        <w:t>Deloitte</w:t>
      </w:r>
      <w:proofErr w:type="spellEnd"/>
      <w:r w:rsidRPr="00480DD8">
        <w:rPr>
          <w:rFonts w:ascii="Times New Roman" w:eastAsia="Times New Roman" w:hAnsi="Times New Roman" w:cs="Times New Roman"/>
          <w:color w:val="000000"/>
          <w:sz w:val="24"/>
          <w:szCs w:val="20"/>
          <w:lang w:eastAsia="ru-RU"/>
        </w:rPr>
        <w:t xml:space="preserve"> </w:t>
      </w:r>
      <w:proofErr w:type="spellStart"/>
      <w:r w:rsidRPr="00480DD8">
        <w:rPr>
          <w:rFonts w:ascii="Times New Roman" w:eastAsia="Times New Roman" w:hAnsi="Times New Roman" w:cs="Times New Roman"/>
          <w:color w:val="000000"/>
          <w:sz w:val="24"/>
          <w:szCs w:val="20"/>
          <w:lang w:eastAsia="ru-RU"/>
        </w:rPr>
        <w:t>Touche</w:t>
      </w:r>
      <w:proofErr w:type="spellEnd"/>
      <w:r w:rsidRPr="00480DD8">
        <w:rPr>
          <w:rFonts w:ascii="Times New Roman" w:eastAsia="Times New Roman" w:hAnsi="Times New Roman" w:cs="Times New Roman"/>
          <w:color w:val="000000"/>
          <w:sz w:val="24"/>
          <w:szCs w:val="20"/>
          <w:lang w:eastAsia="ru-RU"/>
        </w:rPr>
        <w:t xml:space="preserve"> </w:t>
      </w:r>
      <w:proofErr w:type="spellStart"/>
      <w:r w:rsidRPr="00480DD8">
        <w:rPr>
          <w:rFonts w:ascii="Times New Roman" w:eastAsia="Times New Roman" w:hAnsi="Times New Roman" w:cs="Times New Roman"/>
          <w:color w:val="000000"/>
          <w:sz w:val="24"/>
          <w:szCs w:val="20"/>
          <w:lang w:eastAsia="ru-RU"/>
        </w:rPr>
        <w:t>Tohmatsu</w:t>
      </w:r>
      <w:proofErr w:type="spellEnd"/>
      <w:r w:rsidRPr="00480DD8">
        <w:rPr>
          <w:rFonts w:ascii="Times New Roman" w:eastAsia="Times New Roman" w:hAnsi="Times New Roman" w:cs="Times New Roman"/>
          <w:color w:val="000000"/>
          <w:sz w:val="24"/>
          <w:szCs w:val="20"/>
          <w:lang w:eastAsia="ru-RU"/>
        </w:rPr>
        <w:t>», «</w:t>
      </w:r>
      <w:proofErr w:type="spellStart"/>
      <w:r w:rsidRPr="00480DD8">
        <w:rPr>
          <w:rFonts w:ascii="Times New Roman" w:eastAsia="Times New Roman" w:hAnsi="Times New Roman" w:cs="Times New Roman"/>
          <w:color w:val="000000"/>
          <w:sz w:val="24"/>
          <w:szCs w:val="20"/>
          <w:lang w:eastAsia="ru-RU"/>
        </w:rPr>
        <w:t>Ernst</w:t>
      </w:r>
      <w:proofErr w:type="spellEnd"/>
      <w:r w:rsidRPr="00480DD8">
        <w:rPr>
          <w:rFonts w:ascii="Times New Roman" w:eastAsia="Times New Roman" w:hAnsi="Times New Roman" w:cs="Times New Roman"/>
          <w:color w:val="000000"/>
          <w:sz w:val="24"/>
          <w:szCs w:val="20"/>
          <w:lang w:eastAsia="ru-RU"/>
        </w:rPr>
        <w:t xml:space="preserve"> &amp; </w:t>
      </w:r>
      <w:proofErr w:type="spellStart"/>
      <w:r w:rsidRPr="00480DD8">
        <w:rPr>
          <w:rFonts w:ascii="Times New Roman" w:eastAsia="Times New Roman" w:hAnsi="Times New Roman" w:cs="Times New Roman"/>
          <w:color w:val="000000"/>
          <w:sz w:val="24"/>
          <w:szCs w:val="20"/>
          <w:lang w:eastAsia="ru-RU"/>
        </w:rPr>
        <w:t>Young</w:t>
      </w:r>
      <w:proofErr w:type="spellEnd"/>
      <w:r w:rsidRPr="00480DD8">
        <w:rPr>
          <w:rFonts w:ascii="Times New Roman" w:eastAsia="Times New Roman" w:hAnsi="Times New Roman" w:cs="Times New Roman"/>
          <w:color w:val="000000"/>
          <w:sz w:val="24"/>
          <w:szCs w:val="20"/>
          <w:lang w:eastAsia="ru-RU"/>
        </w:rPr>
        <w:t xml:space="preserve">» та «KPMG» (табл. 2.4). </w:t>
      </w:r>
    </w:p>
    <w:p w:rsidR="00480DD8" w:rsidRPr="00480DD8" w:rsidRDefault="00480DD8" w:rsidP="00480DD8">
      <w:pPr>
        <w:spacing w:before="120" w:after="0" w:line="240" w:lineRule="auto"/>
        <w:ind w:firstLine="567"/>
        <w:jc w:val="right"/>
        <w:rPr>
          <w:rFonts w:ascii="Times New Roman" w:eastAsia="Times New Roman" w:hAnsi="Times New Roman" w:cs="Times New Roman"/>
          <w:i/>
          <w:color w:val="000000"/>
          <w:sz w:val="24"/>
          <w:szCs w:val="20"/>
          <w:lang w:eastAsia="ru-RU"/>
        </w:rPr>
      </w:pPr>
      <w:r w:rsidRPr="00480DD8">
        <w:rPr>
          <w:rFonts w:ascii="Times New Roman" w:eastAsia="Times New Roman" w:hAnsi="Times New Roman" w:cs="Times New Roman"/>
          <w:i/>
          <w:color w:val="000000"/>
          <w:sz w:val="24"/>
          <w:szCs w:val="20"/>
          <w:lang w:eastAsia="ru-RU"/>
        </w:rPr>
        <w:t>Таблиця 3.4</w:t>
      </w:r>
    </w:p>
    <w:p w:rsidR="00480DD8" w:rsidRPr="00480DD8" w:rsidRDefault="00480DD8" w:rsidP="00480DD8">
      <w:pPr>
        <w:shd w:val="clear" w:color="auto" w:fill="FFFFFF"/>
        <w:spacing w:after="0" w:line="240" w:lineRule="auto"/>
        <w:jc w:val="center"/>
        <w:rPr>
          <w:rFonts w:ascii="Times New Roman" w:eastAsia="Times New Roman" w:hAnsi="Times New Roman" w:cs="Times New Roman"/>
          <w:b/>
          <w:color w:val="000000"/>
          <w:sz w:val="24"/>
          <w:szCs w:val="20"/>
          <w:lang w:eastAsia="ru-RU"/>
        </w:rPr>
      </w:pPr>
      <w:r w:rsidRPr="00480DD8">
        <w:rPr>
          <w:rFonts w:ascii="Times New Roman" w:eastAsia="Times New Roman" w:hAnsi="Times New Roman" w:cs="Times New Roman"/>
          <w:b/>
          <w:color w:val="000000"/>
          <w:sz w:val="24"/>
          <w:szCs w:val="20"/>
          <w:lang w:eastAsia="ru-RU"/>
        </w:rPr>
        <w:t xml:space="preserve">Дані компаній-лідерів світового ринку консалтингових послуг за 2012 р. </w:t>
      </w:r>
      <w:r w:rsidRPr="00480DD8">
        <w:rPr>
          <w:rFonts w:ascii="Times New Roman" w:eastAsia="Times New Roman" w:hAnsi="Times New Roman" w:cs="Times New Roman"/>
          <w:color w:val="000000"/>
          <w:sz w:val="24"/>
          <w:szCs w:val="20"/>
          <w:lang w:eastAsia="ru-RU"/>
        </w:rPr>
        <w:t>(складено на основі [</w:t>
      </w:r>
      <w:r w:rsidRPr="00480DD8">
        <w:rPr>
          <w:rFonts w:ascii="Times New Roman" w:eastAsia="Times New Roman" w:hAnsi="Times New Roman" w:cs="Times New Roman"/>
          <w:color w:val="000000"/>
          <w:sz w:val="24"/>
          <w:szCs w:val="20"/>
          <w:lang w:eastAsia="ru-RU"/>
        </w:rPr>
        <w:fldChar w:fldCharType="begin"/>
      </w:r>
      <w:r w:rsidRPr="00480DD8">
        <w:rPr>
          <w:rFonts w:ascii="Times New Roman" w:eastAsia="Times New Roman" w:hAnsi="Times New Roman" w:cs="Times New Roman"/>
          <w:color w:val="000000"/>
          <w:sz w:val="24"/>
          <w:szCs w:val="20"/>
          <w:lang w:eastAsia="ru-RU"/>
        </w:rPr>
        <w:instrText xml:space="preserve"> REF _Ref439521288 \r \h  \* MERGEFORMAT </w:instrText>
      </w:r>
      <w:r w:rsidRPr="00480DD8">
        <w:rPr>
          <w:rFonts w:ascii="Times New Roman" w:eastAsia="Times New Roman" w:hAnsi="Times New Roman" w:cs="Times New Roman"/>
          <w:color w:val="000000"/>
          <w:sz w:val="24"/>
          <w:szCs w:val="20"/>
          <w:lang w:eastAsia="ru-RU"/>
        </w:rPr>
      </w:r>
      <w:r w:rsidRPr="00480DD8">
        <w:rPr>
          <w:rFonts w:ascii="Times New Roman" w:eastAsia="Times New Roman" w:hAnsi="Times New Roman" w:cs="Times New Roman"/>
          <w:color w:val="000000"/>
          <w:sz w:val="24"/>
          <w:szCs w:val="20"/>
          <w:lang w:eastAsia="ru-RU"/>
        </w:rPr>
        <w:fldChar w:fldCharType="separate"/>
      </w:r>
      <w:r w:rsidRPr="00480DD8">
        <w:rPr>
          <w:rFonts w:ascii="Times New Roman" w:eastAsia="Times New Roman" w:hAnsi="Times New Roman" w:cs="Times New Roman"/>
          <w:color w:val="000000"/>
          <w:sz w:val="24"/>
          <w:szCs w:val="20"/>
          <w:lang w:eastAsia="ru-RU"/>
        </w:rPr>
        <w:t>13</w:t>
      </w:r>
      <w:r w:rsidRPr="00480DD8">
        <w:rPr>
          <w:rFonts w:ascii="Times New Roman" w:eastAsia="Times New Roman" w:hAnsi="Times New Roman" w:cs="Times New Roman"/>
          <w:color w:val="000000"/>
          <w:sz w:val="24"/>
          <w:szCs w:val="20"/>
          <w:lang w:eastAsia="ru-RU"/>
        </w:rPr>
        <w:fldChar w:fldCharType="end"/>
      </w:r>
      <w:r w:rsidRPr="00480DD8">
        <w:rPr>
          <w:rFonts w:ascii="Times New Roman" w:eastAsia="Times New Roman" w:hAnsi="Times New Roman" w:cs="Times New Roman"/>
          <w:color w:val="000000"/>
          <w:sz w:val="24"/>
          <w:szCs w:val="20"/>
          <w:lang w:eastAsia="ru-RU"/>
        </w:rPr>
        <w:t>, с. 18])</w:t>
      </w:r>
    </w:p>
    <w:p w:rsidR="00480DD8" w:rsidRPr="00480DD8" w:rsidRDefault="00480DD8" w:rsidP="00480DD8">
      <w:pPr>
        <w:shd w:val="clear" w:color="auto" w:fill="FFFFFF"/>
        <w:spacing w:after="0" w:line="240" w:lineRule="auto"/>
        <w:jc w:val="center"/>
        <w:rPr>
          <w:rFonts w:ascii="Times New Roman" w:eastAsia="Times New Roman" w:hAnsi="Times New Roman" w:cs="Times New Roman"/>
          <w:b/>
          <w:color w:val="000000"/>
          <w:sz w:val="24"/>
          <w:szCs w:val="20"/>
          <w:lang w:eastAsia="ru-RU"/>
        </w:rPr>
      </w:pPr>
    </w:p>
    <w:tbl>
      <w:tblPr>
        <w:tblW w:w="491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1836"/>
        <w:gridCol w:w="1752"/>
        <w:gridCol w:w="1816"/>
        <w:gridCol w:w="1780"/>
        <w:gridCol w:w="2276"/>
      </w:tblGrid>
      <w:tr w:rsidR="00480DD8" w:rsidRPr="00480DD8" w:rsidTr="00331F77">
        <w:trPr>
          <w:trHeight w:val="23"/>
        </w:trPr>
        <w:tc>
          <w:tcPr>
            <w:tcW w:w="970" w:type="pct"/>
            <w:vAlign w:val="center"/>
          </w:tcPr>
          <w:p w:rsidR="00480DD8" w:rsidRPr="00480DD8" w:rsidRDefault="00480DD8" w:rsidP="00480DD8">
            <w:pPr>
              <w:shd w:val="clear" w:color="auto" w:fill="FFFFFF"/>
              <w:spacing w:after="0" w:line="240" w:lineRule="auto"/>
              <w:ind w:left="-153" w:firstLine="153"/>
              <w:jc w:val="center"/>
              <w:rPr>
                <w:rFonts w:ascii="Times New Roman" w:eastAsia="Times New Roman" w:hAnsi="Times New Roman" w:cs="Times New Roman"/>
                <w:color w:val="000000"/>
                <w:sz w:val="20"/>
                <w:szCs w:val="20"/>
                <w:lang w:eastAsia="ru-RU"/>
              </w:rPr>
            </w:pPr>
          </w:p>
          <w:p w:rsidR="00480DD8" w:rsidRPr="00480DD8" w:rsidRDefault="00480DD8" w:rsidP="00480D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Компанія</w:t>
            </w:r>
          </w:p>
        </w:tc>
        <w:tc>
          <w:tcPr>
            <w:tcW w:w="926" w:type="pct"/>
            <w:vAlign w:val="center"/>
          </w:tcPr>
          <w:p w:rsidR="00480DD8" w:rsidRPr="00480DD8" w:rsidRDefault="00480DD8" w:rsidP="00480D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 xml:space="preserve">Сукупні доходи, млрд. </w:t>
            </w:r>
            <w:proofErr w:type="spellStart"/>
            <w:r w:rsidRPr="00480DD8">
              <w:rPr>
                <w:rFonts w:ascii="Times New Roman" w:eastAsia="Times New Roman" w:hAnsi="Times New Roman" w:cs="Times New Roman"/>
                <w:color w:val="000000"/>
                <w:sz w:val="20"/>
                <w:szCs w:val="20"/>
                <w:lang w:eastAsia="ru-RU"/>
              </w:rPr>
              <w:t>дол</w:t>
            </w:r>
            <w:proofErr w:type="spellEnd"/>
            <w:r w:rsidRPr="00480DD8">
              <w:rPr>
                <w:rFonts w:ascii="Times New Roman" w:eastAsia="Times New Roman" w:hAnsi="Times New Roman" w:cs="Times New Roman"/>
                <w:color w:val="000000"/>
                <w:sz w:val="20"/>
                <w:szCs w:val="20"/>
                <w:lang w:eastAsia="ru-RU"/>
              </w:rPr>
              <w:t>. США</w:t>
            </w:r>
          </w:p>
        </w:tc>
        <w:tc>
          <w:tcPr>
            <w:tcW w:w="960" w:type="pct"/>
          </w:tcPr>
          <w:p w:rsidR="00480DD8" w:rsidRPr="00480DD8" w:rsidRDefault="00480DD8" w:rsidP="00480DD8">
            <w:pPr>
              <w:shd w:val="clear" w:color="auto" w:fill="FFFFFF"/>
              <w:spacing w:after="0" w:line="240" w:lineRule="auto"/>
              <w:ind w:left="-108"/>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 xml:space="preserve">Доходи від консалтингу, млрд. </w:t>
            </w:r>
            <w:proofErr w:type="spellStart"/>
            <w:r w:rsidRPr="00480DD8">
              <w:rPr>
                <w:rFonts w:ascii="Times New Roman" w:eastAsia="Times New Roman" w:hAnsi="Times New Roman" w:cs="Times New Roman"/>
                <w:color w:val="000000"/>
                <w:sz w:val="20"/>
                <w:szCs w:val="20"/>
                <w:lang w:eastAsia="ru-RU"/>
              </w:rPr>
              <w:t>дол</w:t>
            </w:r>
            <w:proofErr w:type="spellEnd"/>
            <w:r w:rsidRPr="00480DD8">
              <w:rPr>
                <w:rFonts w:ascii="Times New Roman" w:eastAsia="Times New Roman" w:hAnsi="Times New Roman" w:cs="Times New Roman"/>
                <w:color w:val="000000"/>
                <w:sz w:val="20"/>
                <w:szCs w:val="20"/>
                <w:lang w:eastAsia="ru-RU"/>
              </w:rPr>
              <w:t>. США</w:t>
            </w:r>
          </w:p>
        </w:tc>
        <w:tc>
          <w:tcPr>
            <w:tcW w:w="941" w:type="pct"/>
            <w:vAlign w:val="center"/>
          </w:tcPr>
          <w:p w:rsidR="00480DD8" w:rsidRPr="00480DD8" w:rsidRDefault="00480DD8" w:rsidP="00480DD8">
            <w:pPr>
              <w:shd w:val="clear" w:color="auto" w:fill="FFFFFF"/>
              <w:spacing w:after="0" w:line="240" w:lineRule="auto"/>
              <w:ind w:left="-108"/>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 xml:space="preserve">Кількість працівників, тис. </w:t>
            </w:r>
            <w:proofErr w:type="spellStart"/>
            <w:r w:rsidRPr="00480DD8">
              <w:rPr>
                <w:rFonts w:ascii="Times New Roman" w:eastAsia="Times New Roman" w:hAnsi="Times New Roman" w:cs="Times New Roman"/>
                <w:color w:val="000000"/>
                <w:sz w:val="20"/>
                <w:szCs w:val="20"/>
                <w:lang w:eastAsia="ru-RU"/>
              </w:rPr>
              <w:t>чол</w:t>
            </w:r>
            <w:proofErr w:type="spellEnd"/>
            <w:r w:rsidRPr="00480DD8">
              <w:rPr>
                <w:rFonts w:ascii="Times New Roman" w:eastAsia="Times New Roman" w:hAnsi="Times New Roman" w:cs="Times New Roman"/>
                <w:color w:val="000000"/>
                <w:sz w:val="20"/>
                <w:szCs w:val="20"/>
                <w:lang w:eastAsia="ru-RU"/>
              </w:rPr>
              <w:t>.</w:t>
            </w:r>
          </w:p>
        </w:tc>
        <w:tc>
          <w:tcPr>
            <w:tcW w:w="1204" w:type="pct"/>
            <w:vAlign w:val="center"/>
          </w:tcPr>
          <w:p w:rsidR="00480DD8" w:rsidRPr="00480DD8" w:rsidRDefault="00480DD8" w:rsidP="00480DD8">
            <w:pPr>
              <w:shd w:val="clear" w:color="auto" w:fill="FFFFFF"/>
              <w:spacing w:after="0" w:line="240" w:lineRule="auto"/>
              <w:ind w:right="-108"/>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Країна головного офісу</w:t>
            </w:r>
          </w:p>
        </w:tc>
      </w:tr>
      <w:tr w:rsidR="00480DD8" w:rsidRPr="00480DD8" w:rsidTr="00331F77">
        <w:trPr>
          <w:trHeight w:val="23"/>
        </w:trPr>
        <w:tc>
          <w:tcPr>
            <w:tcW w:w="970" w:type="pct"/>
            <w:vAlign w:val="center"/>
          </w:tcPr>
          <w:p w:rsidR="00480DD8" w:rsidRPr="00480DD8" w:rsidRDefault="00480DD8" w:rsidP="00480D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PWС</w:t>
            </w:r>
          </w:p>
        </w:tc>
        <w:tc>
          <w:tcPr>
            <w:tcW w:w="926" w:type="pct"/>
            <w:vAlign w:val="center"/>
          </w:tcPr>
          <w:p w:rsidR="00480DD8" w:rsidRPr="00480DD8" w:rsidRDefault="00480DD8" w:rsidP="00480D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31,5</w:t>
            </w:r>
          </w:p>
        </w:tc>
        <w:tc>
          <w:tcPr>
            <w:tcW w:w="960" w:type="pct"/>
            <w:vAlign w:val="center"/>
          </w:tcPr>
          <w:p w:rsidR="00480DD8" w:rsidRPr="00480DD8" w:rsidRDefault="00480DD8" w:rsidP="00480D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8,7</w:t>
            </w:r>
          </w:p>
        </w:tc>
        <w:tc>
          <w:tcPr>
            <w:tcW w:w="941" w:type="pct"/>
            <w:vAlign w:val="center"/>
          </w:tcPr>
          <w:p w:rsidR="00480DD8" w:rsidRPr="00480DD8" w:rsidRDefault="00480DD8" w:rsidP="00480D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181</w:t>
            </w:r>
          </w:p>
        </w:tc>
        <w:tc>
          <w:tcPr>
            <w:tcW w:w="1204" w:type="pct"/>
            <w:vAlign w:val="center"/>
          </w:tcPr>
          <w:p w:rsidR="00480DD8" w:rsidRPr="00480DD8" w:rsidRDefault="00480DD8" w:rsidP="00480D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Велика Британія</w:t>
            </w:r>
          </w:p>
        </w:tc>
      </w:tr>
      <w:tr w:rsidR="00480DD8" w:rsidRPr="00480DD8" w:rsidTr="00331F77">
        <w:trPr>
          <w:trHeight w:val="23"/>
        </w:trPr>
        <w:tc>
          <w:tcPr>
            <w:tcW w:w="970" w:type="pct"/>
            <w:vAlign w:val="center"/>
          </w:tcPr>
          <w:p w:rsidR="00480DD8" w:rsidRPr="00480DD8" w:rsidRDefault="00480DD8" w:rsidP="00480DD8">
            <w:pPr>
              <w:shd w:val="clear" w:color="auto" w:fill="FFFFFF"/>
              <w:spacing w:after="0" w:line="240" w:lineRule="auto"/>
              <w:jc w:val="center"/>
              <w:rPr>
                <w:rFonts w:ascii="Times New Roman" w:eastAsia="Times New Roman" w:hAnsi="Times New Roman" w:cs="Times New Roman"/>
                <w:color w:val="000000"/>
                <w:sz w:val="20"/>
                <w:szCs w:val="20"/>
                <w:lang w:eastAsia="ru-RU"/>
              </w:rPr>
            </w:pPr>
            <w:proofErr w:type="spellStart"/>
            <w:r w:rsidRPr="00480DD8">
              <w:rPr>
                <w:rFonts w:ascii="Times New Roman" w:eastAsia="Times New Roman" w:hAnsi="Times New Roman" w:cs="Times New Roman"/>
                <w:color w:val="000000"/>
                <w:sz w:val="20"/>
                <w:szCs w:val="20"/>
                <w:lang w:eastAsia="ru-RU"/>
              </w:rPr>
              <w:t>Deloitte</w:t>
            </w:r>
            <w:proofErr w:type="spellEnd"/>
          </w:p>
        </w:tc>
        <w:tc>
          <w:tcPr>
            <w:tcW w:w="926" w:type="pct"/>
            <w:vAlign w:val="center"/>
          </w:tcPr>
          <w:p w:rsidR="00480DD8" w:rsidRPr="00480DD8" w:rsidRDefault="00480DD8" w:rsidP="00480D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31,3</w:t>
            </w:r>
          </w:p>
        </w:tc>
        <w:tc>
          <w:tcPr>
            <w:tcW w:w="960" w:type="pct"/>
            <w:vAlign w:val="center"/>
          </w:tcPr>
          <w:p w:rsidR="00480DD8" w:rsidRPr="00480DD8" w:rsidRDefault="00480DD8" w:rsidP="00480D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9,7</w:t>
            </w:r>
          </w:p>
        </w:tc>
        <w:tc>
          <w:tcPr>
            <w:tcW w:w="941" w:type="pct"/>
            <w:vAlign w:val="center"/>
          </w:tcPr>
          <w:p w:rsidR="00480DD8" w:rsidRPr="00480DD8" w:rsidRDefault="00480DD8" w:rsidP="00480D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193</w:t>
            </w:r>
          </w:p>
        </w:tc>
        <w:tc>
          <w:tcPr>
            <w:tcW w:w="1204" w:type="pct"/>
            <w:vAlign w:val="center"/>
          </w:tcPr>
          <w:p w:rsidR="00480DD8" w:rsidRPr="00480DD8" w:rsidRDefault="00480DD8" w:rsidP="00480D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США</w:t>
            </w:r>
          </w:p>
        </w:tc>
      </w:tr>
      <w:tr w:rsidR="00480DD8" w:rsidRPr="00480DD8" w:rsidTr="00331F77">
        <w:trPr>
          <w:trHeight w:val="23"/>
        </w:trPr>
        <w:tc>
          <w:tcPr>
            <w:tcW w:w="970" w:type="pct"/>
            <w:vAlign w:val="center"/>
          </w:tcPr>
          <w:p w:rsidR="00480DD8" w:rsidRPr="00480DD8" w:rsidRDefault="00480DD8" w:rsidP="00480DD8">
            <w:pPr>
              <w:shd w:val="clear" w:color="auto" w:fill="FFFFFF"/>
              <w:spacing w:after="0" w:line="240" w:lineRule="auto"/>
              <w:jc w:val="center"/>
              <w:rPr>
                <w:rFonts w:ascii="Times New Roman" w:eastAsia="Times New Roman" w:hAnsi="Times New Roman" w:cs="Times New Roman"/>
                <w:color w:val="000000"/>
                <w:sz w:val="20"/>
                <w:szCs w:val="20"/>
                <w:lang w:eastAsia="ru-RU"/>
              </w:rPr>
            </w:pPr>
            <w:proofErr w:type="spellStart"/>
            <w:r w:rsidRPr="00480DD8">
              <w:rPr>
                <w:rFonts w:ascii="Times New Roman" w:eastAsia="Times New Roman" w:hAnsi="Times New Roman" w:cs="Times New Roman"/>
                <w:color w:val="000000"/>
                <w:sz w:val="20"/>
                <w:szCs w:val="20"/>
                <w:lang w:eastAsia="ru-RU"/>
              </w:rPr>
              <w:t>Ernst</w:t>
            </w:r>
            <w:proofErr w:type="spellEnd"/>
            <w:r w:rsidRPr="00480DD8">
              <w:rPr>
                <w:rFonts w:ascii="Times New Roman" w:eastAsia="Times New Roman" w:hAnsi="Times New Roman" w:cs="Times New Roman"/>
                <w:color w:val="000000"/>
                <w:sz w:val="20"/>
                <w:szCs w:val="20"/>
                <w:lang w:eastAsia="ru-RU"/>
              </w:rPr>
              <w:t xml:space="preserve"> &amp; </w:t>
            </w:r>
            <w:proofErr w:type="spellStart"/>
            <w:r w:rsidRPr="00480DD8">
              <w:rPr>
                <w:rFonts w:ascii="Times New Roman" w:eastAsia="Times New Roman" w:hAnsi="Times New Roman" w:cs="Times New Roman"/>
                <w:color w:val="000000"/>
                <w:sz w:val="20"/>
                <w:szCs w:val="20"/>
                <w:lang w:eastAsia="ru-RU"/>
              </w:rPr>
              <w:t>Young</w:t>
            </w:r>
            <w:proofErr w:type="spellEnd"/>
          </w:p>
        </w:tc>
        <w:tc>
          <w:tcPr>
            <w:tcW w:w="926" w:type="pct"/>
            <w:vAlign w:val="center"/>
          </w:tcPr>
          <w:p w:rsidR="00480DD8" w:rsidRPr="00480DD8" w:rsidRDefault="00480DD8" w:rsidP="00480D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24,4</w:t>
            </w:r>
          </w:p>
        </w:tc>
        <w:tc>
          <w:tcPr>
            <w:tcW w:w="960" w:type="pct"/>
            <w:vAlign w:val="center"/>
          </w:tcPr>
          <w:p w:rsidR="00480DD8" w:rsidRPr="00480DD8" w:rsidRDefault="00480DD8" w:rsidP="00480D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4,9</w:t>
            </w:r>
          </w:p>
        </w:tc>
        <w:tc>
          <w:tcPr>
            <w:tcW w:w="941" w:type="pct"/>
            <w:vAlign w:val="center"/>
          </w:tcPr>
          <w:p w:rsidR="00480DD8" w:rsidRPr="00480DD8" w:rsidRDefault="00480DD8" w:rsidP="00480D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167</w:t>
            </w:r>
          </w:p>
        </w:tc>
        <w:tc>
          <w:tcPr>
            <w:tcW w:w="1204" w:type="pct"/>
            <w:vAlign w:val="center"/>
          </w:tcPr>
          <w:p w:rsidR="00480DD8" w:rsidRPr="00480DD8" w:rsidRDefault="00480DD8" w:rsidP="00480D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Велика Британія</w:t>
            </w:r>
          </w:p>
        </w:tc>
      </w:tr>
      <w:tr w:rsidR="00480DD8" w:rsidRPr="00480DD8" w:rsidTr="00331F77">
        <w:trPr>
          <w:trHeight w:val="23"/>
        </w:trPr>
        <w:tc>
          <w:tcPr>
            <w:tcW w:w="970" w:type="pct"/>
            <w:vAlign w:val="center"/>
          </w:tcPr>
          <w:p w:rsidR="00480DD8" w:rsidRPr="00480DD8" w:rsidRDefault="00480DD8" w:rsidP="00480D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KPMG</w:t>
            </w:r>
          </w:p>
        </w:tc>
        <w:tc>
          <w:tcPr>
            <w:tcW w:w="926" w:type="pct"/>
            <w:vAlign w:val="center"/>
          </w:tcPr>
          <w:p w:rsidR="00480DD8" w:rsidRPr="00480DD8" w:rsidRDefault="00480DD8" w:rsidP="00480D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23,0</w:t>
            </w:r>
          </w:p>
        </w:tc>
        <w:tc>
          <w:tcPr>
            <w:tcW w:w="960" w:type="pct"/>
            <w:vAlign w:val="center"/>
          </w:tcPr>
          <w:p w:rsidR="00480DD8" w:rsidRPr="00480DD8" w:rsidRDefault="00480DD8" w:rsidP="00480D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7,8</w:t>
            </w:r>
          </w:p>
        </w:tc>
        <w:tc>
          <w:tcPr>
            <w:tcW w:w="941" w:type="pct"/>
            <w:vAlign w:val="center"/>
          </w:tcPr>
          <w:p w:rsidR="00480DD8" w:rsidRPr="00480DD8" w:rsidRDefault="00480DD8" w:rsidP="00480D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152</w:t>
            </w:r>
          </w:p>
        </w:tc>
        <w:tc>
          <w:tcPr>
            <w:tcW w:w="1204" w:type="pct"/>
            <w:vAlign w:val="center"/>
          </w:tcPr>
          <w:p w:rsidR="00480DD8" w:rsidRPr="00480DD8" w:rsidRDefault="00480DD8" w:rsidP="00480DD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Нідерланди</w:t>
            </w:r>
          </w:p>
        </w:tc>
      </w:tr>
    </w:tbl>
    <w:p w:rsidR="00480DD8" w:rsidRPr="00480DD8" w:rsidRDefault="00480DD8" w:rsidP="00480DD8">
      <w:pPr>
        <w:spacing w:after="0" w:line="240" w:lineRule="auto"/>
        <w:ind w:firstLine="567"/>
        <w:jc w:val="both"/>
        <w:rPr>
          <w:rFonts w:ascii="Times New Roman" w:eastAsia="Times New Roman" w:hAnsi="Times New Roman" w:cs="Times New Roman"/>
          <w:color w:val="000000"/>
          <w:szCs w:val="20"/>
          <w:lang w:eastAsia="ru-RU"/>
        </w:rPr>
      </w:pP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Загалом усі компанії "Великої четвірки" демонструють стабільну позитивну динаміку, а сумарна кількість їх співробітників наближається до позначки у 700 тис. осіб.</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b/>
          <w:color w:val="000000"/>
          <w:sz w:val="24"/>
          <w:szCs w:val="20"/>
          <w:lang w:eastAsia="ru-RU"/>
        </w:rPr>
        <w:t xml:space="preserve">Учасниками ринку </w:t>
      </w:r>
      <w:r w:rsidRPr="00480DD8">
        <w:rPr>
          <w:rFonts w:ascii="Times New Roman" w:eastAsia="Times New Roman" w:hAnsi="Times New Roman" w:cs="Times New Roman"/>
          <w:color w:val="000000"/>
          <w:sz w:val="24"/>
          <w:szCs w:val="20"/>
          <w:lang w:eastAsia="ru-RU"/>
        </w:rPr>
        <w:t>консалтингових послуг, окрім транснаціональних корпорацій, є:</w:t>
      </w:r>
    </w:p>
    <w:p w:rsidR="00480DD8" w:rsidRPr="00480DD8" w:rsidRDefault="00480DD8" w:rsidP="00480DD8">
      <w:pPr>
        <w:numPr>
          <w:ilvl w:val="0"/>
          <w:numId w:val="5"/>
        </w:num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i/>
          <w:color w:val="000000"/>
          <w:sz w:val="24"/>
          <w:szCs w:val="20"/>
          <w:lang w:eastAsia="ru-RU"/>
        </w:rPr>
        <w:lastRenderedPageBreak/>
        <w:t>багатофункціональні компанії</w:t>
      </w:r>
      <w:r w:rsidRPr="00480DD8">
        <w:rPr>
          <w:rFonts w:ascii="Times New Roman" w:eastAsia="Times New Roman" w:hAnsi="Times New Roman" w:cs="Times New Roman"/>
          <w:color w:val="000000"/>
          <w:sz w:val="24"/>
          <w:szCs w:val="20"/>
          <w:lang w:eastAsia="ru-RU"/>
        </w:rPr>
        <w:t xml:space="preserve">, що спеціалізуються на обслуговуванні великих компаній та пропонують широкий спектр управлінських послуг; </w:t>
      </w:r>
    </w:p>
    <w:p w:rsidR="00480DD8" w:rsidRPr="00480DD8" w:rsidRDefault="00480DD8" w:rsidP="00480DD8">
      <w:pPr>
        <w:numPr>
          <w:ilvl w:val="0"/>
          <w:numId w:val="5"/>
        </w:num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i/>
          <w:color w:val="000000"/>
          <w:sz w:val="24"/>
          <w:szCs w:val="20"/>
          <w:lang w:eastAsia="ru-RU"/>
        </w:rPr>
        <w:t>вузькоспеціалізовані фірми</w:t>
      </w:r>
      <w:r w:rsidRPr="00480DD8">
        <w:rPr>
          <w:rFonts w:ascii="Times New Roman" w:eastAsia="Times New Roman" w:hAnsi="Times New Roman" w:cs="Times New Roman"/>
          <w:color w:val="000000"/>
          <w:sz w:val="24"/>
          <w:szCs w:val="20"/>
          <w:lang w:eastAsia="ru-RU"/>
        </w:rPr>
        <w:t xml:space="preserve">, що пропонують свої послуги в обмеженому секторі управлінського консультування; </w:t>
      </w:r>
    </w:p>
    <w:p w:rsidR="00480DD8" w:rsidRPr="00480DD8" w:rsidRDefault="00480DD8" w:rsidP="00480DD8">
      <w:pPr>
        <w:numPr>
          <w:ilvl w:val="0"/>
          <w:numId w:val="5"/>
        </w:num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i/>
          <w:color w:val="000000"/>
          <w:sz w:val="24"/>
          <w:szCs w:val="20"/>
          <w:lang w:eastAsia="ru-RU"/>
        </w:rPr>
        <w:t>університети, навчальні центри, що</w:t>
      </w:r>
      <w:r w:rsidRPr="00480DD8">
        <w:rPr>
          <w:rFonts w:ascii="Times New Roman" w:eastAsia="Times New Roman" w:hAnsi="Times New Roman" w:cs="Times New Roman"/>
          <w:color w:val="000000"/>
          <w:sz w:val="24"/>
          <w:szCs w:val="20"/>
          <w:lang w:eastAsia="ru-RU"/>
        </w:rPr>
        <w:t xml:space="preserve"> проводять підготовку спеціалістів, тренінги, ініціюючи тих, хто навчається, до отримання консалтингових послуг з різних питань бізнесу; </w:t>
      </w:r>
    </w:p>
    <w:p w:rsidR="00480DD8" w:rsidRPr="00480DD8" w:rsidRDefault="00480DD8" w:rsidP="00480DD8">
      <w:pPr>
        <w:numPr>
          <w:ilvl w:val="0"/>
          <w:numId w:val="5"/>
        </w:num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i/>
          <w:color w:val="000000"/>
          <w:sz w:val="24"/>
          <w:szCs w:val="20"/>
          <w:lang w:eastAsia="ru-RU"/>
        </w:rPr>
        <w:t>незалежні консультанти</w:t>
      </w:r>
      <w:r w:rsidRPr="00480DD8">
        <w:rPr>
          <w:rFonts w:ascii="Times New Roman" w:eastAsia="Times New Roman" w:hAnsi="Times New Roman" w:cs="Times New Roman"/>
          <w:color w:val="000000"/>
          <w:sz w:val="24"/>
          <w:szCs w:val="20"/>
          <w:lang w:eastAsia="ru-RU"/>
        </w:rPr>
        <w:t xml:space="preserve"> – висококваліфіковані спеціалісти, що володіють досвідом роботи і виступають або експертами з певних проблем, або постійними консультантами невеликих підприємств.</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Світовий ринок консультаційних послуг при цьому поділений таким чином: 40 найкрупніших консалтингових фірм обслуговують 66% цього ринку, 180 середніх фірм – 25%, 1500 дрібних фірм – 9%. Велика компанія має від 300 до 30000 працівників і річного доходу від 68 млн. до 3 млрд. </w:t>
      </w:r>
      <w:proofErr w:type="spellStart"/>
      <w:r w:rsidRPr="00480DD8">
        <w:rPr>
          <w:rFonts w:ascii="Times New Roman" w:eastAsia="Times New Roman" w:hAnsi="Times New Roman" w:cs="Times New Roman"/>
          <w:color w:val="000000"/>
          <w:sz w:val="24"/>
          <w:szCs w:val="20"/>
          <w:lang w:eastAsia="ru-RU"/>
        </w:rPr>
        <w:t>дол</w:t>
      </w:r>
      <w:proofErr w:type="spellEnd"/>
      <w:r w:rsidRPr="00480DD8">
        <w:rPr>
          <w:rFonts w:ascii="Times New Roman" w:eastAsia="Times New Roman" w:hAnsi="Times New Roman" w:cs="Times New Roman"/>
          <w:color w:val="000000"/>
          <w:sz w:val="24"/>
          <w:szCs w:val="20"/>
          <w:lang w:eastAsia="ru-RU"/>
        </w:rPr>
        <w:t xml:space="preserve">. США. У середній фірмі налічується від 100 до 300 професіоналів, генеруючи річний дохід до 20 млн. </w:t>
      </w:r>
      <w:proofErr w:type="spellStart"/>
      <w:r w:rsidRPr="00480DD8">
        <w:rPr>
          <w:rFonts w:ascii="Times New Roman" w:eastAsia="Times New Roman" w:hAnsi="Times New Roman" w:cs="Times New Roman"/>
          <w:color w:val="000000"/>
          <w:sz w:val="24"/>
          <w:szCs w:val="20"/>
          <w:lang w:eastAsia="ru-RU"/>
        </w:rPr>
        <w:t>дол</w:t>
      </w:r>
      <w:proofErr w:type="spellEnd"/>
      <w:r w:rsidRPr="00480DD8">
        <w:rPr>
          <w:rFonts w:ascii="Times New Roman" w:eastAsia="Times New Roman" w:hAnsi="Times New Roman" w:cs="Times New Roman"/>
          <w:color w:val="000000"/>
          <w:sz w:val="24"/>
          <w:szCs w:val="20"/>
          <w:lang w:eastAsia="ru-RU"/>
        </w:rPr>
        <w:t xml:space="preserve">. Дрібні фірми – це фірми, в яких в середньому біля 4-х професійних консультантів і річний дохід не більше 0.5 млн. </w:t>
      </w:r>
      <w:proofErr w:type="spellStart"/>
      <w:r w:rsidRPr="00480DD8">
        <w:rPr>
          <w:rFonts w:ascii="Times New Roman" w:eastAsia="Times New Roman" w:hAnsi="Times New Roman" w:cs="Times New Roman"/>
          <w:color w:val="000000"/>
          <w:sz w:val="24"/>
          <w:szCs w:val="20"/>
          <w:lang w:eastAsia="ru-RU"/>
        </w:rPr>
        <w:t>дол</w:t>
      </w:r>
      <w:proofErr w:type="spellEnd"/>
      <w:r w:rsidRPr="00480DD8">
        <w:rPr>
          <w:rFonts w:ascii="Times New Roman" w:eastAsia="Times New Roman" w:hAnsi="Times New Roman" w:cs="Times New Roman"/>
          <w:color w:val="000000"/>
          <w:sz w:val="24"/>
          <w:szCs w:val="20"/>
          <w:lang w:eastAsia="ru-RU"/>
        </w:rPr>
        <w:t>. Аналіз структури послуг, вироблюваних 40 найбільшими консалтинговими фірмами, дав наступні результати (рис. 3.1).</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За оцінками фахівців, понад 75% сукупних доходів консалтингової індустрії припадає на транснаціональні компанії. Проте на регіональних майданчиках управлінського консультування залишається вагомою роль малих консалтингових фірм, чисельністю до 10 осіб.</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p>
    <w:p w:rsidR="00480DD8" w:rsidRPr="00480DD8" w:rsidRDefault="00480DD8" w:rsidP="00480DD8">
      <w:pPr>
        <w:spacing w:after="0" w:line="240" w:lineRule="auto"/>
        <w:jc w:val="both"/>
        <w:rPr>
          <w:rFonts w:ascii="Times New Roman" w:eastAsia="Times New Roman" w:hAnsi="Times New Roman" w:cs="Times New Roman"/>
          <w:color w:val="000000"/>
          <w:szCs w:val="20"/>
          <w:lang w:eastAsia="ru-RU"/>
        </w:rPr>
      </w:pPr>
      <w:r w:rsidRPr="00480DD8">
        <w:rPr>
          <w:rFonts w:ascii="Times New Roman" w:eastAsia="Times New Roman" w:hAnsi="Times New Roman" w:cs="Times New Roman"/>
          <w:noProof/>
          <w:color w:val="000000"/>
          <w:szCs w:val="20"/>
          <w:lang w:eastAsia="uk-UA"/>
        </w:rPr>
        <w:drawing>
          <wp:inline distT="0" distB="0" distL="0" distR="0" wp14:anchorId="33E6114A" wp14:editId="1C3211F6">
            <wp:extent cx="4027805" cy="2026285"/>
            <wp:effectExtent l="0" t="0" r="10795" b="12065"/>
            <wp:docPr id="6"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80DD8" w:rsidRPr="00480DD8" w:rsidRDefault="00480DD8" w:rsidP="00480DD8">
      <w:pPr>
        <w:spacing w:after="0" w:line="240" w:lineRule="auto"/>
        <w:jc w:val="center"/>
        <w:rPr>
          <w:rFonts w:ascii="Times New Roman" w:eastAsia="Times New Roman" w:hAnsi="Times New Roman" w:cs="Times New Roman"/>
          <w:color w:val="000000"/>
          <w:szCs w:val="20"/>
          <w:lang w:eastAsia="ru-RU"/>
        </w:rPr>
      </w:pPr>
    </w:p>
    <w:p w:rsidR="00480DD8" w:rsidRPr="00480DD8" w:rsidRDefault="00480DD8" w:rsidP="00480DD8">
      <w:pPr>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Рис. 3.1. Структура світового ринку консалтингових послуг</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Незважаючи на історичне домінування управлінського консультування у країнах Північної Америки (понад 47% глобального ринку), а також в європейському регіоні, значні темпи зростання обсягів консалтингових послуг спостерігаються у країнах, що розвиваються. Значні темпи приросту консалтингового ринку тут зумовлені бумом промислового виробництва в Північній Азії, проникненням транснаціональних корпорації в азійський регіон, що підтверджує гіпотезу про залежність темпів зростання управлінського консультування від темпів зростання економіки країни. Упродовж останніх кількох років відбувся перерозподіл часток консалтингового ринку (рис. 3.2).</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Швидкі темпи розвитку виробництва в азійському регіоні (Японія, Корея, Індія, Китай, Тайвань) спричинили стрімке зростання консалтингового бізнесу в цьому регіоні, що забезпечило країнам </w:t>
      </w:r>
      <w:proofErr w:type="spellStart"/>
      <w:r w:rsidRPr="00480DD8">
        <w:rPr>
          <w:rFonts w:ascii="Times New Roman" w:eastAsia="Times New Roman" w:hAnsi="Times New Roman" w:cs="Times New Roman"/>
          <w:color w:val="000000"/>
          <w:sz w:val="24"/>
          <w:szCs w:val="20"/>
          <w:lang w:eastAsia="ru-RU"/>
        </w:rPr>
        <w:t>Азійсько</w:t>
      </w:r>
      <w:proofErr w:type="spellEnd"/>
      <w:r w:rsidRPr="00480DD8">
        <w:rPr>
          <w:rFonts w:ascii="Times New Roman" w:eastAsia="Times New Roman" w:hAnsi="Times New Roman" w:cs="Times New Roman"/>
          <w:color w:val="000000"/>
          <w:sz w:val="24"/>
          <w:szCs w:val="20"/>
          <w:lang w:eastAsia="ru-RU"/>
        </w:rPr>
        <w:t xml:space="preserve">-Тихоокеанського регіону значний приріст національних ринків менеджмент-консалтингу.  </w:t>
      </w:r>
    </w:p>
    <w:p w:rsidR="00480DD8" w:rsidRPr="00480DD8" w:rsidRDefault="00480DD8" w:rsidP="00480DD8">
      <w:pPr>
        <w:spacing w:after="0" w:line="240" w:lineRule="auto"/>
        <w:jc w:val="both"/>
        <w:rPr>
          <w:rFonts w:ascii="Times New Roman" w:eastAsia="Times New Roman" w:hAnsi="Times New Roman" w:cs="Times New Roman"/>
          <w:color w:val="000000"/>
          <w:szCs w:val="20"/>
          <w:lang w:eastAsia="ru-RU"/>
        </w:rPr>
      </w:pPr>
      <w:r w:rsidRPr="00480DD8">
        <w:rPr>
          <w:rFonts w:ascii="Times New Roman" w:eastAsia="Times New Roman" w:hAnsi="Times New Roman" w:cs="Times New Roman"/>
          <w:noProof/>
          <w:color w:val="000000"/>
          <w:szCs w:val="20"/>
          <w:lang w:eastAsia="uk-UA"/>
        </w:rPr>
        <w:lastRenderedPageBreak/>
        <w:drawing>
          <wp:inline distT="0" distB="0" distL="0" distR="0" wp14:anchorId="47E7C82F" wp14:editId="21F7874C">
            <wp:extent cx="3760470" cy="2312670"/>
            <wp:effectExtent l="0" t="0" r="0" b="0"/>
            <wp:docPr id="7" name="Диаграмма 3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80DD8" w:rsidRPr="00480DD8" w:rsidRDefault="00480DD8" w:rsidP="00480DD8">
      <w:pPr>
        <w:spacing w:after="0" w:line="240" w:lineRule="auto"/>
        <w:jc w:val="center"/>
        <w:rPr>
          <w:rFonts w:ascii="Times New Roman" w:eastAsia="Times New Roman" w:hAnsi="Times New Roman" w:cs="Times New Roman"/>
          <w:color w:val="000000"/>
          <w:szCs w:val="20"/>
          <w:lang w:eastAsia="ru-RU"/>
        </w:rPr>
      </w:pPr>
      <w:r w:rsidRPr="00480DD8">
        <w:rPr>
          <w:rFonts w:ascii="Times New Roman" w:eastAsia="Times New Roman" w:hAnsi="Times New Roman" w:cs="Times New Roman"/>
          <w:color w:val="000000"/>
          <w:szCs w:val="20"/>
          <w:lang w:eastAsia="ru-RU"/>
        </w:rPr>
        <w:t>Рис. 3.2. Структура глобального ринку консалтингових послуг за географічними регіонами [</w:t>
      </w:r>
      <w:r w:rsidRPr="00480DD8">
        <w:rPr>
          <w:rFonts w:ascii="Times New Roman" w:eastAsia="Times New Roman" w:hAnsi="Times New Roman" w:cs="Times New Roman"/>
          <w:color w:val="000000"/>
          <w:szCs w:val="20"/>
          <w:lang w:eastAsia="ru-RU"/>
        </w:rPr>
        <w:fldChar w:fldCharType="begin"/>
      </w:r>
      <w:r w:rsidRPr="00480DD8">
        <w:rPr>
          <w:rFonts w:ascii="Times New Roman" w:eastAsia="Times New Roman" w:hAnsi="Times New Roman" w:cs="Times New Roman"/>
          <w:color w:val="000000"/>
          <w:szCs w:val="20"/>
          <w:lang w:eastAsia="ru-RU"/>
        </w:rPr>
        <w:instrText xml:space="preserve"> REF _Ref429601582 \r \h  \* MERGEFORMAT </w:instrText>
      </w:r>
      <w:r w:rsidRPr="00480DD8">
        <w:rPr>
          <w:rFonts w:ascii="Times New Roman" w:eastAsia="Times New Roman" w:hAnsi="Times New Roman" w:cs="Times New Roman"/>
          <w:color w:val="000000"/>
          <w:szCs w:val="20"/>
          <w:lang w:eastAsia="ru-RU"/>
        </w:rPr>
      </w:r>
      <w:r w:rsidRPr="00480DD8">
        <w:rPr>
          <w:rFonts w:ascii="Times New Roman" w:eastAsia="Times New Roman" w:hAnsi="Times New Roman" w:cs="Times New Roman"/>
          <w:color w:val="000000"/>
          <w:szCs w:val="20"/>
          <w:lang w:eastAsia="ru-RU"/>
        </w:rPr>
        <w:fldChar w:fldCharType="separate"/>
      </w:r>
      <w:r w:rsidRPr="00480DD8">
        <w:rPr>
          <w:rFonts w:ascii="Times New Roman" w:eastAsia="Times New Roman" w:hAnsi="Times New Roman" w:cs="Times New Roman"/>
          <w:color w:val="000000"/>
          <w:szCs w:val="20"/>
          <w:lang w:eastAsia="ru-RU"/>
        </w:rPr>
        <w:t>12</w:t>
      </w:r>
      <w:r w:rsidRPr="00480DD8">
        <w:rPr>
          <w:rFonts w:ascii="Times New Roman" w:eastAsia="Times New Roman" w:hAnsi="Times New Roman" w:cs="Times New Roman"/>
          <w:color w:val="000000"/>
          <w:szCs w:val="20"/>
          <w:lang w:eastAsia="ru-RU"/>
        </w:rPr>
        <w:fldChar w:fldCharType="end"/>
      </w:r>
      <w:r w:rsidRPr="00480DD8">
        <w:rPr>
          <w:rFonts w:ascii="Times New Roman" w:eastAsia="Times New Roman" w:hAnsi="Times New Roman" w:cs="Times New Roman"/>
          <w:color w:val="000000"/>
          <w:szCs w:val="20"/>
          <w:lang w:eastAsia="ru-RU"/>
        </w:rPr>
        <w:t>, c. 239]</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Глобальне економічне зростання в </w:t>
      </w:r>
      <w:proofErr w:type="spellStart"/>
      <w:r w:rsidRPr="00480DD8">
        <w:rPr>
          <w:rFonts w:ascii="Times New Roman" w:eastAsia="Times New Roman" w:hAnsi="Times New Roman" w:cs="Times New Roman"/>
          <w:color w:val="000000"/>
          <w:sz w:val="24"/>
          <w:szCs w:val="20"/>
          <w:lang w:eastAsia="ru-RU"/>
        </w:rPr>
        <w:t>Азійсько</w:t>
      </w:r>
      <w:proofErr w:type="spellEnd"/>
      <w:r w:rsidRPr="00480DD8">
        <w:rPr>
          <w:rFonts w:ascii="Times New Roman" w:eastAsia="Times New Roman" w:hAnsi="Times New Roman" w:cs="Times New Roman"/>
          <w:color w:val="000000"/>
          <w:sz w:val="24"/>
          <w:szCs w:val="20"/>
          <w:lang w:eastAsia="ru-RU"/>
        </w:rPr>
        <w:t>-Тихоокеанському регіоні, Північній Америці, європейських країнах змусило лідерів американського менеджмент-консалтингу активізувати експортування консалтингових послуг. Через зростання попиту на консультування в країнах Східної Азії, Індії, Китаю транснаціональні компанії відкрили там власні офіси й дослідницькі центри. Прагнення оптимізації діяльності транснаціональних консалтингових компаній, розширення своєї присутності і необхідність цінової конкурентоспроможності зумовили експансію глобальних консалтингових компаній у регіональні сектори управлінського консультування, що зростають, за рахунок широкого залучення національних консультантів до праці в офісах відомих консультаційних фірм.</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Розглядаючи ринок консалтингових послуг у країнах Європи, слід відмітити, що частка консалтингу у ВВП цих країн не перевищує 1,1 %. Найбільшу частку у структурі ВВП консалтинг займає у Фінляндії та Норвегії (1,1 %); в Австрії, Швеції, Німеччині відповідний показник складає 1%, в Данії та Великобританії – 0,9 %, в Іспанії – 0,8 %, в Словенії та Португалії – 0,7, в Нідерландах – 0,5 %, у Франції – 0,4, для решти країн, включаючи Україну, цей показник не перевищує 0,3 %.</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У світовій практиці з метою порівняння рівня розвитку консалтингу аналізують кількість громадян країни, що   припадає на одного консультанта з управління. У таблиці представлена «щільність» консультантів у країнах-лідерах розвитку послуг з консалтингу.</w:t>
      </w:r>
    </w:p>
    <w:p w:rsidR="00480DD8" w:rsidRPr="00480DD8" w:rsidRDefault="00480DD8" w:rsidP="00480DD8">
      <w:pPr>
        <w:spacing w:after="0" w:line="240" w:lineRule="auto"/>
        <w:ind w:firstLine="567"/>
        <w:jc w:val="right"/>
        <w:rPr>
          <w:rFonts w:ascii="Times New Roman" w:eastAsia="Times New Roman" w:hAnsi="Times New Roman" w:cs="Times New Roman"/>
          <w:i/>
          <w:color w:val="000000"/>
          <w:sz w:val="24"/>
          <w:szCs w:val="20"/>
          <w:lang w:eastAsia="ru-RU"/>
        </w:rPr>
      </w:pPr>
      <w:r w:rsidRPr="00480DD8">
        <w:rPr>
          <w:rFonts w:ascii="Times New Roman" w:eastAsia="Times New Roman" w:hAnsi="Times New Roman" w:cs="Times New Roman"/>
          <w:i/>
          <w:color w:val="000000"/>
          <w:sz w:val="24"/>
          <w:szCs w:val="20"/>
          <w:lang w:eastAsia="ru-RU"/>
        </w:rPr>
        <w:t>Таблиця 3.5</w:t>
      </w:r>
    </w:p>
    <w:p w:rsidR="00480DD8" w:rsidRPr="00480DD8" w:rsidRDefault="00480DD8" w:rsidP="00480DD8">
      <w:pPr>
        <w:spacing w:after="120" w:line="240" w:lineRule="auto"/>
        <w:ind w:firstLine="567"/>
        <w:jc w:val="both"/>
        <w:rPr>
          <w:rFonts w:ascii="Times New Roman" w:eastAsia="Times New Roman" w:hAnsi="Times New Roman" w:cs="Times New Roman"/>
          <w:b/>
          <w:color w:val="000000"/>
          <w:sz w:val="24"/>
          <w:szCs w:val="20"/>
          <w:lang w:eastAsia="ru-RU"/>
        </w:rPr>
      </w:pPr>
      <w:r w:rsidRPr="00480DD8">
        <w:rPr>
          <w:rFonts w:ascii="Times New Roman" w:eastAsia="Times New Roman" w:hAnsi="Times New Roman" w:cs="Times New Roman"/>
          <w:b/>
          <w:color w:val="000000"/>
          <w:sz w:val="24"/>
          <w:szCs w:val="20"/>
          <w:lang w:eastAsia="ru-RU"/>
        </w:rPr>
        <w:t>«Щільність» консультантів у ряді країн Європи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2562"/>
        <w:gridCol w:w="3834"/>
      </w:tblGrid>
      <w:tr w:rsidR="00480DD8" w:rsidRPr="00480DD8" w:rsidTr="00331F77">
        <w:tc>
          <w:tcPr>
            <w:tcW w:w="2562" w:type="dxa"/>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lang w:eastAsia="ru-RU"/>
              </w:rPr>
            </w:pPr>
            <w:r w:rsidRPr="00480DD8">
              <w:rPr>
                <w:rFonts w:ascii="Times New Roman" w:eastAsia="Times New Roman" w:hAnsi="Times New Roman" w:cs="Times New Roman"/>
                <w:b/>
                <w:color w:val="000000"/>
                <w:lang w:eastAsia="ru-RU"/>
              </w:rPr>
              <w:t>Країна</w:t>
            </w:r>
          </w:p>
          <w:p w:rsidR="00480DD8" w:rsidRPr="00480DD8" w:rsidRDefault="00480DD8" w:rsidP="00480DD8">
            <w:pPr>
              <w:spacing w:after="0" w:line="240" w:lineRule="auto"/>
              <w:jc w:val="center"/>
              <w:rPr>
                <w:rFonts w:ascii="Times New Roman" w:eastAsia="Times New Roman" w:hAnsi="Times New Roman" w:cs="Times New Roman"/>
                <w:b/>
                <w:color w:val="000000"/>
                <w:lang w:eastAsia="ru-RU"/>
              </w:rPr>
            </w:pPr>
          </w:p>
        </w:tc>
        <w:tc>
          <w:tcPr>
            <w:tcW w:w="3834" w:type="dxa"/>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lang w:eastAsia="ru-RU"/>
              </w:rPr>
            </w:pPr>
            <w:r w:rsidRPr="00480DD8">
              <w:rPr>
                <w:rFonts w:ascii="Times New Roman" w:eastAsia="Times New Roman" w:hAnsi="Times New Roman" w:cs="Times New Roman"/>
                <w:b/>
                <w:color w:val="000000"/>
                <w:lang w:eastAsia="ru-RU"/>
              </w:rPr>
              <w:t>Кількість громадян країни на одного консультанта з управління, осіб</w:t>
            </w:r>
          </w:p>
        </w:tc>
      </w:tr>
      <w:tr w:rsidR="00480DD8" w:rsidRPr="00480DD8" w:rsidTr="00331F77">
        <w:tc>
          <w:tcPr>
            <w:tcW w:w="2562" w:type="dxa"/>
          </w:tcPr>
          <w:p w:rsidR="00480DD8" w:rsidRPr="00480DD8" w:rsidRDefault="00480DD8" w:rsidP="00480DD8">
            <w:pPr>
              <w:spacing w:after="0" w:line="240" w:lineRule="auto"/>
              <w:jc w:val="both"/>
              <w:rPr>
                <w:rFonts w:ascii="Times New Roman" w:eastAsia="Times New Roman" w:hAnsi="Times New Roman" w:cs="Times New Roman"/>
                <w:color w:val="000000"/>
                <w:lang w:eastAsia="ru-RU"/>
              </w:rPr>
            </w:pPr>
            <w:r w:rsidRPr="00480DD8">
              <w:rPr>
                <w:rFonts w:ascii="Times New Roman" w:eastAsia="Times New Roman" w:hAnsi="Times New Roman" w:cs="Times New Roman"/>
                <w:color w:val="000000"/>
                <w:lang w:eastAsia="ru-RU"/>
              </w:rPr>
              <w:t>Нідерланди</w:t>
            </w:r>
          </w:p>
        </w:tc>
        <w:tc>
          <w:tcPr>
            <w:tcW w:w="3834" w:type="dxa"/>
          </w:tcPr>
          <w:p w:rsidR="00480DD8" w:rsidRPr="00480DD8" w:rsidRDefault="00480DD8" w:rsidP="00480DD8">
            <w:pPr>
              <w:spacing w:after="0" w:line="240" w:lineRule="auto"/>
              <w:jc w:val="center"/>
              <w:rPr>
                <w:rFonts w:ascii="Times New Roman" w:eastAsia="Times New Roman" w:hAnsi="Times New Roman" w:cs="Times New Roman"/>
                <w:color w:val="000000"/>
                <w:lang w:eastAsia="ru-RU"/>
              </w:rPr>
            </w:pPr>
            <w:r w:rsidRPr="00480DD8">
              <w:rPr>
                <w:rFonts w:ascii="Times New Roman" w:eastAsia="Times New Roman" w:hAnsi="Times New Roman" w:cs="Times New Roman"/>
                <w:color w:val="000000"/>
                <w:lang w:eastAsia="ru-RU"/>
              </w:rPr>
              <w:t>7600</w:t>
            </w:r>
          </w:p>
        </w:tc>
      </w:tr>
      <w:tr w:rsidR="00480DD8" w:rsidRPr="00480DD8" w:rsidTr="00331F77">
        <w:tc>
          <w:tcPr>
            <w:tcW w:w="2562" w:type="dxa"/>
          </w:tcPr>
          <w:p w:rsidR="00480DD8" w:rsidRPr="00480DD8" w:rsidRDefault="00480DD8" w:rsidP="00480DD8">
            <w:pPr>
              <w:spacing w:after="0" w:line="240" w:lineRule="auto"/>
              <w:jc w:val="both"/>
              <w:rPr>
                <w:rFonts w:ascii="Times New Roman" w:eastAsia="Times New Roman" w:hAnsi="Times New Roman" w:cs="Times New Roman"/>
                <w:color w:val="000000"/>
                <w:lang w:eastAsia="ru-RU"/>
              </w:rPr>
            </w:pPr>
            <w:r w:rsidRPr="00480DD8">
              <w:rPr>
                <w:rFonts w:ascii="Times New Roman" w:eastAsia="Times New Roman" w:hAnsi="Times New Roman" w:cs="Times New Roman"/>
                <w:color w:val="000000"/>
                <w:lang w:eastAsia="ru-RU"/>
              </w:rPr>
              <w:t>Великобританія</w:t>
            </w:r>
          </w:p>
        </w:tc>
        <w:tc>
          <w:tcPr>
            <w:tcW w:w="3834" w:type="dxa"/>
          </w:tcPr>
          <w:p w:rsidR="00480DD8" w:rsidRPr="00480DD8" w:rsidRDefault="00480DD8" w:rsidP="00480DD8">
            <w:pPr>
              <w:spacing w:after="0" w:line="240" w:lineRule="auto"/>
              <w:jc w:val="center"/>
              <w:rPr>
                <w:rFonts w:ascii="Times New Roman" w:eastAsia="Times New Roman" w:hAnsi="Times New Roman" w:cs="Times New Roman"/>
                <w:color w:val="000000"/>
                <w:lang w:eastAsia="ru-RU"/>
              </w:rPr>
            </w:pPr>
            <w:r w:rsidRPr="00480DD8">
              <w:rPr>
                <w:rFonts w:ascii="Times New Roman" w:eastAsia="Times New Roman" w:hAnsi="Times New Roman" w:cs="Times New Roman"/>
                <w:color w:val="000000"/>
                <w:lang w:eastAsia="ru-RU"/>
              </w:rPr>
              <w:t>8400</w:t>
            </w:r>
          </w:p>
        </w:tc>
      </w:tr>
      <w:tr w:rsidR="00480DD8" w:rsidRPr="00480DD8" w:rsidTr="00331F77">
        <w:tc>
          <w:tcPr>
            <w:tcW w:w="2562" w:type="dxa"/>
          </w:tcPr>
          <w:p w:rsidR="00480DD8" w:rsidRPr="00480DD8" w:rsidRDefault="00480DD8" w:rsidP="00480DD8">
            <w:pPr>
              <w:spacing w:after="0" w:line="240" w:lineRule="auto"/>
              <w:jc w:val="both"/>
              <w:rPr>
                <w:rFonts w:ascii="Times New Roman" w:eastAsia="Times New Roman" w:hAnsi="Times New Roman" w:cs="Times New Roman"/>
                <w:color w:val="000000"/>
                <w:lang w:eastAsia="ru-RU"/>
              </w:rPr>
            </w:pPr>
            <w:r w:rsidRPr="00480DD8">
              <w:rPr>
                <w:rFonts w:ascii="Times New Roman" w:eastAsia="Times New Roman" w:hAnsi="Times New Roman" w:cs="Times New Roman"/>
                <w:color w:val="000000"/>
                <w:lang w:eastAsia="ru-RU"/>
              </w:rPr>
              <w:t>Німеччина</w:t>
            </w:r>
          </w:p>
        </w:tc>
        <w:tc>
          <w:tcPr>
            <w:tcW w:w="3834" w:type="dxa"/>
          </w:tcPr>
          <w:p w:rsidR="00480DD8" w:rsidRPr="00480DD8" w:rsidRDefault="00480DD8" w:rsidP="00480DD8">
            <w:pPr>
              <w:spacing w:after="0" w:line="240" w:lineRule="auto"/>
              <w:jc w:val="center"/>
              <w:rPr>
                <w:rFonts w:ascii="Times New Roman" w:eastAsia="Times New Roman" w:hAnsi="Times New Roman" w:cs="Times New Roman"/>
                <w:color w:val="000000"/>
                <w:lang w:eastAsia="ru-RU"/>
              </w:rPr>
            </w:pPr>
            <w:r w:rsidRPr="00480DD8">
              <w:rPr>
                <w:rFonts w:ascii="Times New Roman" w:eastAsia="Times New Roman" w:hAnsi="Times New Roman" w:cs="Times New Roman"/>
                <w:color w:val="000000"/>
                <w:lang w:eastAsia="ru-RU"/>
              </w:rPr>
              <w:t>11100</w:t>
            </w:r>
          </w:p>
        </w:tc>
      </w:tr>
      <w:tr w:rsidR="00480DD8" w:rsidRPr="00480DD8" w:rsidTr="00331F77">
        <w:tc>
          <w:tcPr>
            <w:tcW w:w="2562" w:type="dxa"/>
          </w:tcPr>
          <w:p w:rsidR="00480DD8" w:rsidRPr="00480DD8" w:rsidRDefault="00480DD8" w:rsidP="00480DD8">
            <w:pPr>
              <w:spacing w:after="0" w:line="240" w:lineRule="auto"/>
              <w:jc w:val="both"/>
              <w:rPr>
                <w:rFonts w:ascii="Times New Roman" w:eastAsia="Times New Roman" w:hAnsi="Times New Roman" w:cs="Times New Roman"/>
                <w:color w:val="000000"/>
                <w:lang w:eastAsia="ru-RU"/>
              </w:rPr>
            </w:pPr>
            <w:r w:rsidRPr="00480DD8">
              <w:rPr>
                <w:rFonts w:ascii="Times New Roman" w:eastAsia="Times New Roman" w:hAnsi="Times New Roman" w:cs="Times New Roman"/>
                <w:color w:val="000000"/>
                <w:lang w:eastAsia="ru-RU"/>
              </w:rPr>
              <w:t>Італія</w:t>
            </w:r>
          </w:p>
        </w:tc>
        <w:tc>
          <w:tcPr>
            <w:tcW w:w="3834" w:type="dxa"/>
          </w:tcPr>
          <w:p w:rsidR="00480DD8" w:rsidRPr="00480DD8" w:rsidRDefault="00480DD8" w:rsidP="00480DD8">
            <w:pPr>
              <w:spacing w:after="0" w:line="240" w:lineRule="auto"/>
              <w:jc w:val="center"/>
              <w:rPr>
                <w:rFonts w:ascii="Times New Roman" w:eastAsia="Times New Roman" w:hAnsi="Times New Roman" w:cs="Times New Roman"/>
                <w:color w:val="000000"/>
                <w:lang w:eastAsia="ru-RU"/>
              </w:rPr>
            </w:pPr>
            <w:r w:rsidRPr="00480DD8">
              <w:rPr>
                <w:rFonts w:ascii="Times New Roman" w:eastAsia="Times New Roman" w:hAnsi="Times New Roman" w:cs="Times New Roman"/>
                <w:color w:val="000000"/>
                <w:lang w:eastAsia="ru-RU"/>
              </w:rPr>
              <w:t>16700</w:t>
            </w:r>
          </w:p>
        </w:tc>
      </w:tr>
      <w:tr w:rsidR="00480DD8" w:rsidRPr="00480DD8" w:rsidTr="00331F77">
        <w:tc>
          <w:tcPr>
            <w:tcW w:w="2562" w:type="dxa"/>
          </w:tcPr>
          <w:p w:rsidR="00480DD8" w:rsidRPr="00480DD8" w:rsidRDefault="00480DD8" w:rsidP="00480DD8">
            <w:pPr>
              <w:spacing w:after="0" w:line="240" w:lineRule="auto"/>
              <w:jc w:val="both"/>
              <w:rPr>
                <w:rFonts w:ascii="Times New Roman" w:eastAsia="Times New Roman" w:hAnsi="Times New Roman" w:cs="Times New Roman"/>
                <w:color w:val="000000"/>
                <w:lang w:eastAsia="ru-RU"/>
              </w:rPr>
            </w:pPr>
            <w:r w:rsidRPr="00480DD8">
              <w:rPr>
                <w:rFonts w:ascii="Times New Roman" w:eastAsia="Times New Roman" w:hAnsi="Times New Roman" w:cs="Times New Roman"/>
                <w:color w:val="000000"/>
                <w:lang w:eastAsia="ru-RU"/>
              </w:rPr>
              <w:t>Франція</w:t>
            </w:r>
          </w:p>
        </w:tc>
        <w:tc>
          <w:tcPr>
            <w:tcW w:w="3834" w:type="dxa"/>
          </w:tcPr>
          <w:p w:rsidR="00480DD8" w:rsidRPr="00480DD8" w:rsidRDefault="00480DD8" w:rsidP="00480DD8">
            <w:pPr>
              <w:spacing w:after="0" w:line="240" w:lineRule="auto"/>
              <w:jc w:val="center"/>
              <w:rPr>
                <w:rFonts w:ascii="Times New Roman" w:eastAsia="Times New Roman" w:hAnsi="Times New Roman" w:cs="Times New Roman"/>
                <w:color w:val="000000"/>
                <w:lang w:eastAsia="ru-RU"/>
              </w:rPr>
            </w:pPr>
            <w:r w:rsidRPr="00480DD8">
              <w:rPr>
                <w:rFonts w:ascii="Times New Roman" w:eastAsia="Times New Roman" w:hAnsi="Times New Roman" w:cs="Times New Roman"/>
                <w:color w:val="000000"/>
                <w:lang w:eastAsia="ru-RU"/>
              </w:rPr>
              <w:t>17600</w:t>
            </w:r>
          </w:p>
        </w:tc>
      </w:tr>
    </w:tbl>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Цілком закономірною є структура попиту на консалтингові послуги в різних країнах Європи з боку клієнтів різних сфер діяльності. Так, у Греції і Болгарії частка державного і суспільного сектору перевищує 40% сукупного обсягу послуг з управлінського консультування, у Великій Британії — 36,4%.</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b/>
          <w:color w:val="000000"/>
          <w:sz w:val="24"/>
          <w:szCs w:val="20"/>
          <w:lang w:eastAsia="ru-RU"/>
        </w:rPr>
        <w:t>Передумовами попиту</w:t>
      </w:r>
      <w:r w:rsidRPr="00480DD8">
        <w:rPr>
          <w:rFonts w:ascii="Times New Roman" w:eastAsia="Times New Roman" w:hAnsi="Times New Roman" w:cs="Times New Roman"/>
          <w:color w:val="000000"/>
          <w:sz w:val="24"/>
          <w:szCs w:val="20"/>
          <w:lang w:eastAsia="ru-RU"/>
        </w:rPr>
        <w:t xml:space="preserve"> на консультаційні послуги є: </w:t>
      </w:r>
    </w:p>
    <w:p w:rsidR="00480DD8" w:rsidRPr="00480DD8" w:rsidRDefault="00480DD8" w:rsidP="00480DD8">
      <w:pPr>
        <w:numPr>
          <w:ilvl w:val="0"/>
          <w:numId w:val="7"/>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поточна завантаженість менеджерів фірм, що перешкоджає їх самостійному вирішенню проблем розвитку та кризових проблем підприємства; </w:t>
      </w:r>
    </w:p>
    <w:p w:rsidR="00480DD8" w:rsidRPr="00480DD8" w:rsidRDefault="00480DD8" w:rsidP="00480DD8">
      <w:pPr>
        <w:numPr>
          <w:ilvl w:val="0"/>
          <w:numId w:val="7"/>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потреба в незалежній оцінці діяльності підприємства;</w:t>
      </w:r>
    </w:p>
    <w:p w:rsidR="00480DD8" w:rsidRPr="00480DD8" w:rsidRDefault="00480DD8" w:rsidP="00480DD8">
      <w:pPr>
        <w:numPr>
          <w:ilvl w:val="0"/>
          <w:numId w:val="7"/>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необхідність підвищення ефективності виробництва та бізнесу в умовах жорсткої конкуренції та ускладнення управлінських проблем; </w:t>
      </w:r>
    </w:p>
    <w:p w:rsidR="00480DD8" w:rsidRPr="00480DD8" w:rsidRDefault="00480DD8" w:rsidP="00480DD8">
      <w:pPr>
        <w:numPr>
          <w:ilvl w:val="0"/>
          <w:numId w:val="7"/>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lastRenderedPageBreak/>
        <w:t xml:space="preserve">інтеграція у світове господарство, інтернаціоналізація вимог та стандартів; </w:t>
      </w:r>
    </w:p>
    <w:p w:rsidR="00480DD8" w:rsidRPr="00480DD8" w:rsidRDefault="00480DD8" w:rsidP="00480DD8">
      <w:pPr>
        <w:numPr>
          <w:ilvl w:val="0"/>
          <w:numId w:val="7"/>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необхідність ініціації змін в організації; </w:t>
      </w:r>
    </w:p>
    <w:p w:rsidR="00480DD8" w:rsidRPr="00480DD8" w:rsidRDefault="00480DD8" w:rsidP="00480DD8">
      <w:pPr>
        <w:numPr>
          <w:ilvl w:val="0"/>
          <w:numId w:val="7"/>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подолання стереотипів вирішення існуючих проблем;</w:t>
      </w:r>
    </w:p>
    <w:p w:rsidR="00480DD8" w:rsidRPr="00480DD8" w:rsidRDefault="00480DD8" w:rsidP="00480DD8">
      <w:pPr>
        <w:numPr>
          <w:ilvl w:val="0"/>
          <w:numId w:val="7"/>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навчання персоналу новим управлінським технологіям.</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Тривалий час </w:t>
      </w:r>
      <w:r w:rsidRPr="00480DD8">
        <w:rPr>
          <w:rFonts w:ascii="Times New Roman" w:eastAsia="Times New Roman" w:hAnsi="Times New Roman" w:cs="Times New Roman"/>
          <w:b/>
          <w:color w:val="000000"/>
          <w:sz w:val="24"/>
          <w:szCs w:val="20"/>
          <w:lang w:eastAsia="ru-RU"/>
        </w:rPr>
        <w:t>основними споживачами</w:t>
      </w:r>
      <w:r w:rsidRPr="00480DD8">
        <w:rPr>
          <w:rFonts w:ascii="Times New Roman" w:eastAsia="Times New Roman" w:hAnsi="Times New Roman" w:cs="Times New Roman"/>
          <w:color w:val="000000"/>
          <w:sz w:val="24"/>
          <w:szCs w:val="20"/>
          <w:lang w:eastAsia="ru-RU"/>
        </w:rPr>
        <w:t xml:space="preserve"> консалтингових послуг залишалися промислові підприємства. Саме вони формували вимоги до консалтингових продуктів і диктували правила співпраці з консультантами. Зменшення частки матеріального виробництва у ВВП більшості країн світу впродовж останнього десятиліття посприяло входженню управлінського консультування у нові сфери економіки. Сьогодні активними учасниками ринку управлінського консультування є компанії фінансового, комунального, телекомунікаційного секторів, сфер телекомунікації і засобів масової інформації.</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Одним із визначальних гравців консалтингового ринку є державний сектор. Залучення консультантів до розроблення та експертної допомоги при ухваленні урядових рішень у різних країнах світу стало нормою.</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Виділяють </w:t>
      </w:r>
      <w:r w:rsidRPr="00480DD8">
        <w:rPr>
          <w:rFonts w:ascii="Times New Roman" w:eastAsia="Times New Roman" w:hAnsi="Times New Roman" w:cs="Times New Roman"/>
          <w:b/>
          <w:color w:val="000000"/>
          <w:sz w:val="24"/>
          <w:szCs w:val="20"/>
          <w:lang w:eastAsia="ru-RU"/>
        </w:rPr>
        <w:t>п’ять поширених</w:t>
      </w:r>
      <w:r w:rsidRPr="00480DD8">
        <w:rPr>
          <w:rFonts w:ascii="Times New Roman" w:eastAsia="Times New Roman" w:hAnsi="Times New Roman" w:cs="Times New Roman"/>
          <w:color w:val="000000"/>
          <w:sz w:val="24"/>
          <w:szCs w:val="20"/>
          <w:lang w:eastAsia="ru-RU"/>
        </w:rPr>
        <w:t xml:space="preserve"> </w:t>
      </w:r>
      <w:r w:rsidRPr="00480DD8">
        <w:rPr>
          <w:rFonts w:ascii="Times New Roman" w:eastAsia="Times New Roman" w:hAnsi="Times New Roman" w:cs="Times New Roman"/>
          <w:b/>
          <w:color w:val="000000"/>
          <w:sz w:val="24"/>
          <w:szCs w:val="20"/>
          <w:lang w:eastAsia="ru-RU"/>
        </w:rPr>
        <w:t>потреб</w:t>
      </w:r>
      <w:r w:rsidRPr="00480DD8">
        <w:rPr>
          <w:rFonts w:ascii="Times New Roman" w:eastAsia="Times New Roman" w:hAnsi="Times New Roman" w:cs="Times New Roman"/>
          <w:color w:val="000000"/>
          <w:sz w:val="24"/>
          <w:szCs w:val="20"/>
          <w:lang w:eastAsia="ru-RU"/>
        </w:rPr>
        <w:t xml:space="preserve"> підприємств, до рішення яких залучаються консультанти: </w:t>
      </w:r>
    </w:p>
    <w:p w:rsidR="00480DD8" w:rsidRPr="00480DD8" w:rsidRDefault="00480DD8" w:rsidP="00480DD8">
      <w:pPr>
        <w:numPr>
          <w:ilvl w:val="0"/>
          <w:numId w:val="6"/>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корпоративний розвиток; </w:t>
      </w:r>
    </w:p>
    <w:p w:rsidR="00480DD8" w:rsidRPr="00480DD8" w:rsidRDefault="00480DD8" w:rsidP="00480DD8">
      <w:pPr>
        <w:numPr>
          <w:ilvl w:val="0"/>
          <w:numId w:val="6"/>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операційний розвиток; </w:t>
      </w:r>
    </w:p>
    <w:p w:rsidR="00480DD8" w:rsidRPr="00480DD8" w:rsidRDefault="00480DD8" w:rsidP="00480DD8">
      <w:pPr>
        <w:numPr>
          <w:ilvl w:val="0"/>
          <w:numId w:val="6"/>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організаційний розвиток; </w:t>
      </w:r>
    </w:p>
    <w:p w:rsidR="00480DD8" w:rsidRPr="00480DD8" w:rsidRDefault="00480DD8" w:rsidP="00480DD8">
      <w:pPr>
        <w:numPr>
          <w:ilvl w:val="0"/>
          <w:numId w:val="6"/>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інформаційно-технологічний розвиток; </w:t>
      </w:r>
    </w:p>
    <w:p w:rsidR="00480DD8" w:rsidRPr="00480DD8" w:rsidRDefault="00480DD8" w:rsidP="00480DD8">
      <w:pPr>
        <w:numPr>
          <w:ilvl w:val="0"/>
          <w:numId w:val="6"/>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підбір кадрів.</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Через тенденції інформатизації всіх сфер діяльності найвищим попитом користуються консультаційні послуги з інформаційних технологій. Найбільша частка їх у структурі консалтингових послуг у секторі роздрібної торгівлі, фінансових послуг, охорони здоров’я. Підприємства енергетичного комплексу, комунальні підприємства, установи фінансового сектору активно користуються послугами з бізнес-консультування. З-поміж інших консалтингових послуг допомогу з питань операційного менеджменту обирають державні організації та установи, компанії ЗМІ, організації у сфері охорони здоров’я.</w:t>
      </w:r>
    </w:p>
    <w:p w:rsidR="00480DD8" w:rsidRPr="00480DD8" w:rsidRDefault="00480DD8" w:rsidP="00480DD8">
      <w:pPr>
        <w:spacing w:after="0" w:line="240" w:lineRule="auto"/>
        <w:ind w:firstLine="284"/>
        <w:jc w:val="both"/>
        <w:rPr>
          <w:rFonts w:ascii="Times New Roman" w:eastAsia="Times New Roman" w:hAnsi="Times New Roman" w:cs="Times New Roman"/>
          <w:b/>
          <w:color w:val="000000"/>
          <w:sz w:val="24"/>
          <w:szCs w:val="20"/>
          <w:lang w:eastAsia="ru-RU"/>
        </w:rPr>
      </w:pPr>
    </w:p>
    <w:p w:rsidR="00480DD8" w:rsidRPr="00480DD8" w:rsidRDefault="00480DD8" w:rsidP="00480DD8">
      <w:pPr>
        <w:keepNext/>
        <w:keepLines/>
        <w:spacing w:before="200" w:after="0" w:line="240" w:lineRule="auto"/>
        <w:ind w:firstLine="567"/>
        <w:jc w:val="both"/>
        <w:outlineLvl w:val="1"/>
        <w:rPr>
          <w:rFonts w:ascii="Times New Roman" w:eastAsia="Times New Roman" w:hAnsi="Times New Roman" w:cs="Times New Roman"/>
          <w:bCs/>
          <w:color w:val="000000"/>
          <w:sz w:val="24"/>
          <w:szCs w:val="26"/>
          <w:lang w:eastAsia="ru-RU"/>
        </w:rPr>
      </w:pPr>
      <w:bookmarkStart w:id="4" w:name="_Toc453179314"/>
      <w:r w:rsidRPr="00480DD8">
        <w:rPr>
          <w:rFonts w:ascii="Times New Roman" w:eastAsia="Times New Roman" w:hAnsi="Times New Roman" w:cs="Times New Roman"/>
          <w:b/>
          <w:bCs/>
          <w:color w:val="000000"/>
          <w:sz w:val="24"/>
          <w:szCs w:val="26"/>
          <w:lang w:eastAsia="ru-RU"/>
        </w:rPr>
        <w:t>3.4.</w:t>
      </w:r>
      <w:r w:rsidRPr="00480DD8">
        <w:rPr>
          <w:rFonts w:ascii="Times New Roman" w:eastAsia="Times New Roman" w:hAnsi="Times New Roman" w:cs="Times New Roman"/>
          <w:bCs/>
          <w:color w:val="000000"/>
          <w:sz w:val="24"/>
          <w:szCs w:val="26"/>
          <w:lang w:eastAsia="ru-RU"/>
        </w:rPr>
        <w:t xml:space="preserve"> </w:t>
      </w:r>
      <w:r w:rsidRPr="00480DD8">
        <w:rPr>
          <w:rFonts w:ascii="Times New Roman" w:eastAsia="Times New Roman" w:hAnsi="Times New Roman" w:cs="Times New Roman"/>
          <w:b/>
          <w:bCs/>
          <w:color w:val="000000"/>
          <w:sz w:val="24"/>
          <w:szCs w:val="26"/>
          <w:lang w:eastAsia="ru-RU"/>
        </w:rPr>
        <w:t>Становлення консалтингу в Україні</w:t>
      </w:r>
      <w:bookmarkEnd w:id="4"/>
    </w:p>
    <w:p w:rsidR="00480DD8" w:rsidRPr="00480DD8" w:rsidRDefault="00480DD8" w:rsidP="00480DD8">
      <w:pPr>
        <w:spacing w:after="0" w:line="240" w:lineRule="auto"/>
        <w:ind w:firstLine="567"/>
        <w:jc w:val="both"/>
        <w:rPr>
          <w:rFonts w:ascii="Times New Roman" w:eastAsia="Times New Roman" w:hAnsi="Times New Roman" w:cs="Times New Roman"/>
          <w:b/>
          <w:color w:val="000000"/>
          <w:sz w:val="24"/>
          <w:szCs w:val="20"/>
          <w:lang w:eastAsia="ru-RU"/>
        </w:rPr>
      </w:pP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Управлінське консультування в Україні пройшло певні стадії становлення. </w:t>
      </w:r>
      <w:r w:rsidRPr="00480DD8">
        <w:rPr>
          <w:rFonts w:ascii="Times New Roman" w:eastAsia="Times New Roman" w:hAnsi="Times New Roman" w:cs="Times New Roman"/>
          <w:b/>
          <w:color w:val="000000"/>
          <w:sz w:val="24"/>
          <w:szCs w:val="20"/>
          <w:lang w:eastAsia="ru-RU"/>
        </w:rPr>
        <w:t>Перший етап</w:t>
      </w:r>
      <w:r w:rsidRPr="00480DD8">
        <w:rPr>
          <w:rFonts w:ascii="Times New Roman" w:eastAsia="Times New Roman" w:hAnsi="Times New Roman" w:cs="Times New Roman"/>
          <w:color w:val="000000"/>
          <w:sz w:val="24"/>
          <w:szCs w:val="20"/>
          <w:lang w:eastAsia="ru-RU"/>
        </w:rPr>
        <w:t xml:space="preserve"> – це формування ринку консалтингових послуг, який безперечно пов’язаний з процесом приватизації, коли попит на оцінку суб’єктів роздержавлення, розробку бізнес-планів та інвестиційних проектів створив умови для створення чисельних консалтингових компанії. </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b/>
          <w:color w:val="000000"/>
          <w:sz w:val="24"/>
          <w:szCs w:val="20"/>
          <w:lang w:eastAsia="ru-RU"/>
        </w:rPr>
        <w:t>Другий етап</w:t>
      </w:r>
      <w:r w:rsidRPr="00480DD8">
        <w:rPr>
          <w:rFonts w:ascii="Times New Roman" w:eastAsia="Times New Roman" w:hAnsi="Times New Roman" w:cs="Times New Roman"/>
          <w:color w:val="000000"/>
          <w:sz w:val="24"/>
          <w:szCs w:val="20"/>
          <w:lang w:eastAsia="ru-RU"/>
        </w:rPr>
        <w:t xml:space="preserve"> становлення консалтингового ринку  пов’язаний із необхідністю надання постприватизаційної підтримки компаніям, побудові компаній на основі ринкових принципів управління. Цей період характеризується появою таких консалтингових продуктів, як стратегічний аналіз, розробка стратегії, організаційна побудова бізнесу, фінансове управління, формування ефективної кадрової політики підприємств та ін. </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b/>
          <w:color w:val="000000"/>
          <w:sz w:val="24"/>
          <w:szCs w:val="20"/>
          <w:lang w:eastAsia="ru-RU"/>
        </w:rPr>
        <w:t>Нова хвиля</w:t>
      </w:r>
      <w:r w:rsidRPr="00480DD8">
        <w:rPr>
          <w:rFonts w:ascii="Times New Roman" w:eastAsia="Times New Roman" w:hAnsi="Times New Roman" w:cs="Times New Roman"/>
          <w:color w:val="000000"/>
          <w:sz w:val="24"/>
          <w:szCs w:val="20"/>
          <w:lang w:eastAsia="ru-RU"/>
        </w:rPr>
        <w:t xml:space="preserve"> розвитку ринку консалтингових послуг в Україні пов’язана з інтервенцією інформаційних технологій, формуванням нових консалтингових продуктів, що пов’язані з автоматизацією процесів управління підприємством. </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Ринок консалтингових послуг в Україні має тенденцію до зростання сегменту IT-послуг. Серед найбільш популярних продуктів, які пропонують консалтингові компанії, сьогодні є комплекс послуг з фінансового управління, управління персоналом і різних технологій управління.</w:t>
      </w:r>
    </w:p>
    <w:p w:rsidR="00480DD8" w:rsidRPr="00480DD8" w:rsidRDefault="00480DD8" w:rsidP="00480DD8">
      <w:pPr>
        <w:spacing w:after="0" w:line="240" w:lineRule="auto"/>
        <w:ind w:firstLine="567"/>
        <w:jc w:val="both"/>
        <w:rPr>
          <w:rFonts w:ascii="Times New Roman" w:eastAsia="Times New Roman" w:hAnsi="Times New Roman" w:cs="Times New Roman"/>
          <w:b/>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На теперішній час в Україні працює більше трьохсот вітчизняних консалтингових агенцій, 50 % з яких спеціалізується виключно на наданні послуг з питань управлінського консультування. Відкриті представництва провідних консалтингових фірм, які є лідерами консультаційного бізнесу, у тому числі країн «великої четвірки». Більшість українських консультаційних компаній знаходяться на тому етапі розвитку, коли вони можуть визначити </w:t>
      </w:r>
      <w:r w:rsidRPr="00480DD8">
        <w:rPr>
          <w:rFonts w:ascii="Times New Roman" w:eastAsia="Times New Roman" w:hAnsi="Times New Roman" w:cs="Times New Roman"/>
          <w:color w:val="000000"/>
          <w:sz w:val="24"/>
          <w:szCs w:val="20"/>
          <w:lang w:eastAsia="ru-RU"/>
        </w:rPr>
        <w:lastRenderedPageBreak/>
        <w:t>власну спеціалізацію, компетенції, потреби потенційних клієнтів. З’явилися вітчизняні консалтингові компанії, які сформували власну методологію роботи, мають унікальні консалтингові технології, розробили нові методи і підходи вирішення управлінських проблем, притаманних українському бізнесу.</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shd w:val="clear" w:color="auto" w:fill="FFFFFF"/>
          <w:lang w:eastAsia="ru-RU"/>
        </w:rPr>
      </w:pPr>
      <w:r w:rsidRPr="00480DD8">
        <w:rPr>
          <w:rFonts w:ascii="Times New Roman" w:eastAsia="Times New Roman" w:hAnsi="Times New Roman" w:cs="Times New Roman"/>
          <w:b/>
          <w:color w:val="000000"/>
          <w:sz w:val="24"/>
          <w:szCs w:val="20"/>
          <w:highlight w:val="yellow"/>
          <w:shd w:val="clear" w:color="auto" w:fill="FFFFFF"/>
          <w:lang w:eastAsia="ru-RU"/>
        </w:rPr>
        <w:t>Ключовими клієнтами</w:t>
      </w:r>
      <w:r w:rsidRPr="00480DD8">
        <w:rPr>
          <w:rFonts w:ascii="Times New Roman" w:eastAsia="Times New Roman" w:hAnsi="Times New Roman" w:cs="Times New Roman"/>
          <w:color w:val="000000"/>
          <w:sz w:val="24"/>
          <w:szCs w:val="20"/>
          <w:highlight w:val="yellow"/>
          <w:shd w:val="clear" w:color="auto" w:fill="FFFFFF"/>
          <w:lang w:eastAsia="ru-RU"/>
        </w:rPr>
        <w:t xml:space="preserve"> консалтингових компаній останніх п’яти років були підприємства металургійної</w:t>
      </w:r>
      <w:r w:rsidRPr="00480DD8">
        <w:rPr>
          <w:rFonts w:ascii="Times New Roman" w:eastAsia="Times New Roman" w:hAnsi="Times New Roman" w:cs="Times New Roman"/>
          <w:color w:val="000000"/>
          <w:sz w:val="24"/>
          <w:szCs w:val="20"/>
          <w:shd w:val="clear" w:color="auto" w:fill="FFFFFF"/>
          <w:lang w:eastAsia="ru-RU"/>
        </w:rPr>
        <w:t>, хімічної промисловості, телекомунікаційного, будівельного та фінансового секторів (табл. 3.6).</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shd w:val="clear" w:color="auto" w:fill="FFFFFF"/>
          <w:lang w:eastAsia="ru-RU"/>
        </w:rPr>
      </w:pPr>
      <w:r w:rsidRPr="00480DD8">
        <w:rPr>
          <w:rFonts w:ascii="Times New Roman" w:eastAsia="Times New Roman" w:hAnsi="Times New Roman" w:cs="Times New Roman"/>
          <w:color w:val="000000"/>
          <w:sz w:val="24"/>
          <w:szCs w:val="20"/>
          <w:shd w:val="clear" w:color="auto" w:fill="FFFFFF"/>
          <w:lang w:eastAsia="ru-RU"/>
        </w:rPr>
        <w:t xml:space="preserve">Характеризуючи динаміку розвитку консалтингу </w:t>
      </w:r>
      <w:r w:rsidRPr="00480DD8">
        <w:rPr>
          <w:rFonts w:ascii="Times New Roman" w:eastAsia="Times New Roman" w:hAnsi="Times New Roman" w:cs="Times New Roman"/>
          <w:b/>
          <w:color w:val="000000"/>
          <w:sz w:val="24"/>
          <w:szCs w:val="20"/>
          <w:shd w:val="clear" w:color="auto" w:fill="FFFFFF"/>
          <w:lang w:eastAsia="ru-RU"/>
        </w:rPr>
        <w:t>за географічною ознакою</w:t>
      </w:r>
      <w:r w:rsidRPr="00480DD8">
        <w:rPr>
          <w:rFonts w:ascii="Times New Roman" w:eastAsia="Times New Roman" w:hAnsi="Times New Roman" w:cs="Times New Roman"/>
          <w:color w:val="000000"/>
          <w:sz w:val="24"/>
          <w:szCs w:val="20"/>
          <w:shd w:val="clear" w:color="auto" w:fill="FFFFFF"/>
          <w:lang w:eastAsia="ru-RU"/>
        </w:rPr>
        <w:t>, можна сказати, що більшість потужних консалтингових вітчизняних компаній зосереджено у м. Києві (понад 75% за кількістю компаній та 85% за обсягами продажів).</w:t>
      </w:r>
    </w:p>
    <w:p w:rsidR="00480DD8" w:rsidRPr="00480DD8" w:rsidRDefault="00480DD8" w:rsidP="00480DD8">
      <w:pPr>
        <w:spacing w:after="0" w:line="240" w:lineRule="auto"/>
        <w:ind w:firstLine="567"/>
        <w:jc w:val="right"/>
        <w:rPr>
          <w:rFonts w:ascii="Times New Roman" w:eastAsia="Times New Roman" w:hAnsi="Times New Roman" w:cs="Times New Roman"/>
          <w:i/>
          <w:color w:val="000000"/>
          <w:szCs w:val="20"/>
          <w:shd w:val="clear" w:color="auto" w:fill="FFFFFF"/>
          <w:lang w:eastAsia="ru-RU"/>
        </w:rPr>
      </w:pPr>
    </w:p>
    <w:p w:rsidR="00480DD8" w:rsidRPr="00480DD8" w:rsidRDefault="00480DD8" w:rsidP="00480DD8">
      <w:pPr>
        <w:spacing w:after="0" w:line="240" w:lineRule="auto"/>
        <w:ind w:firstLine="567"/>
        <w:jc w:val="right"/>
        <w:rPr>
          <w:rFonts w:ascii="Times New Roman" w:eastAsia="Times New Roman" w:hAnsi="Times New Roman" w:cs="Times New Roman"/>
          <w:i/>
          <w:color w:val="000000"/>
          <w:szCs w:val="20"/>
          <w:shd w:val="clear" w:color="auto" w:fill="FFFFFF"/>
          <w:lang w:eastAsia="ru-RU"/>
        </w:rPr>
      </w:pPr>
    </w:p>
    <w:p w:rsidR="00480DD8" w:rsidRPr="00480DD8" w:rsidRDefault="00480DD8" w:rsidP="00480DD8">
      <w:pPr>
        <w:spacing w:after="0" w:line="240" w:lineRule="auto"/>
        <w:ind w:firstLine="567"/>
        <w:jc w:val="right"/>
        <w:rPr>
          <w:rFonts w:ascii="Times New Roman" w:eastAsia="Times New Roman" w:hAnsi="Times New Roman" w:cs="Times New Roman"/>
          <w:i/>
          <w:color w:val="000000"/>
          <w:szCs w:val="20"/>
          <w:shd w:val="clear" w:color="auto" w:fill="FFFFFF"/>
          <w:lang w:eastAsia="ru-RU"/>
        </w:rPr>
      </w:pPr>
    </w:p>
    <w:p w:rsidR="00480DD8" w:rsidRPr="00480DD8" w:rsidRDefault="00480DD8" w:rsidP="00480DD8">
      <w:pPr>
        <w:spacing w:after="0" w:line="240" w:lineRule="auto"/>
        <w:ind w:firstLine="567"/>
        <w:jc w:val="right"/>
        <w:rPr>
          <w:rFonts w:ascii="Times New Roman" w:eastAsia="Times New Roman" w:hAnsi="Times New Roman" w:cs="Times New Roman"/>
          <w:i/>
          <w:color w:val="000000"/>
          <w:szCs w:val="20"/>
          <w:shd w:val="clear" w:color="auto" w:fill="FFFFFF"/>
          <w:lang w:eastAsia="ru-RU"/>
        </w:rPr>
      </w:pPr>
    </w:p>
    <w:p w:rsidR="00480DD8" w:rsidRPr="00480DD8" w:rsidRDefault="00480DD8" w:rsidP="00480DD8">
      <w:pPr>
        <w:spacing w:after="0" w:line="240" w:lineRule="auto"/>
        <w:ind w:firstLine="567"/>
        <w:jc w:val="right"/>
        <w:rPr>
          <w:rFonts w:ascii="Times New Roman" w:eastAsia="Times New Roman" w:hAnsi="Times New Roman" w:cs="Times New Roman"/>
          <w:i/>
          <w:color w:val="000000"/>
          <w:szCs w:val="20"/>
          <w:shd w:val="clear" w:color="auto" w:fill="FFFFFF"/>
          <w:lang w:eastAsia="ru-RU"/>
        </w:rPr>
      </w:pPr>
    </w:p>
    <w:p w:rsidR="00480DD8" w:rsidRPr="00480DD8" w:rsidRDefault="00480DD8" w:rsidP="00480DD8">
      <w:pPr>
        <w:spacing w:after="0" w:line="240" w:lineRule="auto"/>
        <w:ind w:firstLine="567"/>
        <w:jc w:val="right"/>
        <w:rPr>
          <w:rFonts w:ascii="Times New Roman" w:eastAsia="Times New Roman" w:hAnsi="Times New Roman" w:cs="Times New Roman"/>
          <w:i/>
          <w:color w:val="000000"/>
          <w:szCs w:val="20"/>
          <w:shd w:val="clear" w:color="auto" w:fill="FFFFFF"/>
          <w:lang w:eastAsia="ru-RU"/>
        </w:rPr>
      </w:pPr>
      <w:r w:rsidRPr="00480DD8">
        <w:rPr>
          <w:rFonts w:ascii="Times New Roman" w:eastAsia="Times New Roman" w:hAnsi="Times New Roman" w:cs="Times New Roman"/>
          <w:i/>
          <w:color w:val="000000"/>
          <w:szCs w:val="20"/>
          <w:shd w:val="clear" w:color="auto" w:fill="FFFFFF"/>
          <w:lang w:eastAsia="ru-RU"/>
        </w:rPr>
        <w:t>Таблиця 3.6</w:t>
      </w:r>
    </w:p>
    <w:p w:rsidR="00480DD8" w:rsidRPr="00480DD8" w:rsidRDefault="00480DD8" w:rsidP="00480DD8">
      <w:pPr>
        <w:spacing w:after="120" w:line="240" w:lineRule="auto"/>
        <w:jc w:val="center"/>
        <w:rPr>
          <w:rFonts w:ascii="Times New Roman" w:eastAsia="Times New Roman" w:hAnsi="Times New Roman" w:cs="Times New Roman"/>
          <w:b/>
          <w:color w:val="000000"/>
          <w:szCs w:val="20"/>
          <w:shd w:val="clear" w:color="auto" w:fill="FFFFFF"/>
          <w:lang w:eastAsia="ru-RU"/>
        </w:rPr>
      </w:pPr>
      <w:r w:rsidRPr="00480DD8">
        <w:rPr>
          <w:rFonts w:ascii="Times New Roman" w:eastAsia="Times New Roman" w:hAnsi="Times New Roman" w:cs="Times New Roman"/>
          <w:b/>
          <w:color w:val="000000"/>
          <w:szCs w:val="20"/>
          <w:shd w:val="clear" w:color="auto" w:fill="FFFFFF"/>
          <w:lang w:eastAsia="ru-RU"/>
        </w:rPr>
        <w:t>Продуктова концентрація консалтингових послуг на підприємствах різних галузей* [</w:t>
      </w:r>
      <w:r w:rsidRPr="00480DD8">
        <w:rPr>
          <w:rFonts w:ascii="Times New Roman" w:eastAsia="Times New Roman" w:hAnsi="Times New Roman" w:cs="Times New Roman"/>
          <w:b/>
          <w:color w:val="000000"/>
          <w:szCs w:val="20"/>
          <w:shd w:val="clear" w:color="auto" w:fill="FFFFFF"/>
          <w:lang w:eastAsia="ru-RU"/>
        </w:rPr>
        <w:fldChar w:fldCharType="begin"/>
      </w:r>
      <w:r w:rsidRPr="00480DD8">
        <w:rPr>
          <w:rFonts w:ascii="Times New Roman" w:eastAsia="Times New Roman" w:hAnsi="Times New Roman" w:cs="Times New Roman"/>
          <w:b/>
          <w:color w:val="000000"/>
          <w:szCs w:val="20"/>
          <w:shd w:val="clear" w:color="auto" w:fill="FFFFFF"/>
          <w:lang w:eastAsia="ru-RU"/>
        </w:rPr>
        <w:instrText xml:space="preserve"> REF _Ref429601582 \r \h  \* MERGEFORMAT </w:instrText>
      </w:r>
      <w:r w:rsidRPr="00480DD8">
        <w:rPr>
          <w:rFonts w:ascii="Times New Roman" w:eastAsia="Times New Roman" w:hAnsi="Times New Roman" w:cs="Times New Roman"/>
          <w:b/>
          <w:color w:val="000000"/>
          <w:szCs w:val="20"/>
          <w:shd w:val="clear" w:color="auto" w:fill="FFFFFF"/>
          <w:lang w:eastAsia="ru-RU"/>
        </w:rPr>
      </w:r>
      <w:r w:rsidRPr="00480DD8">
        <w:rPr>
          <w:rFonts w:ascii="Times New Roman" w:eastAsia="Times New Roman" w:hAnsi="Times New Roman" w:cs="Times New Roman"/>
          <w:b/>
          <w:color w:val="000000"/>
          <w:szCs w:val="20"/>
          <w:shd w:val="clear" w:color="auto" w:fill="FFFFFF"/>
          <w:lang w:eastAsia="ru-RU"/>
        </w:rPr>
        <w:fldChar w:fldCharType="separate"/>
      </w:r>
      <w:r w:rsidRPr="00480DD8">
        <w:rPr>
          <w:rFonts w:ascii="Times New Roman" w:eastAsia="Times New Roman" w:hAnsi="Times New Roman" w:cs="Times New Roman"/>
          <w:b/>
          <w:color w:val="000000"/>
          <w:szCs w:val="20"/>
          <w:shd w:val="clear" w:color="auto" w:fill="FFFFFF"/>
          <w:lang w:eastAsia="ru-RU"/>
        </w:rPr>
        <w:t>12</w:t>
      </w:r>
      <w:r w:rsidRPr="00480DD8">
        <w:rPr>
          <w:rFonts w:ascii="Times New Roman" w:eastAsia="Times New Roman" w:hAnsi="Times New Roman" w:cs="Times New Roman"/>
          <w:b/>
          <w:color w:val="000000"/>
          <w:szCs w:val="20"/>
          <w:shd w:val="clear" w:color="auto" w:fill="FFFFFF"/>
          <w:lang w:eastAsia="ru-RU"/>
        </w:rPr>
        <w:fldChar w:fldCharType="end"/>
      </w:r>
      <w:r w:rsidRPr="00480DD8">
        <w:rPr>
          <w:rFonts w:ascii="Times New Roman" w:eastAsia="Times New Roman" w:hAnsi="Times New Roman" w:cs="Times New Roman"/>
          <w:b/>
          <w:color w:val="000000"/>
          <w:szCs w:val="20"/>
          <w:shd w:val="clear" w:color="auto" w:fill="FFFFFF"/>
          <w:lang w:eastAsia="ru-RU"/>
        </w:rPr>
        <w:t>, c. 279]</w:t>
      </w:r>
    </w:p>
    <w:tbl>
      <w:tblPr>
        <w:tblW w:w="491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2677"/>
        <w:gridCol w:w="1443"/>
        <w:gridCol w:w="1445"/>
        <w:gridCol w:w="1445"/>
        <w:gridCol w:w="1237"/>
        <w:gridCol w:w="1224"/>
      </w:tblGrid>
      <w:tr w:rsidR="00480DD8" w:rsidRPr="00480DD8" w:rsidTr="00331F77">
        <w:tc>
          <w:tcPr>
            <w:tcW w:w="1413" w:type="pct"/>
            <w:vMerge w:val="restar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18"/>
                <w:szCs w:val="20"/>
                <w:lang w:eastAsia="ru-RU"/>
              </w:rPr>
            </w:pPr>
            <w:r w:rsidRPr="00480DD8">
              <w:rPr>
                <w:rFonts w:ascii="Times New Roman" w:eastAsia="Times New Roman" w:hAnsi="Times New Roman" w:cs="Times New Roman"/>
                <w:b/>
                <w:color w:val="000000"/>
                <w:sz w:val="18"/>
                <w:szCs w:val="20"/>
                <w:lang w:eastAsia="ru-RU"/>
              </w:rPr>
              <w:t>Галузь</w:t>
            </w:r>
          </w:p>
        </w:tc>
        <w:tc>
          <w:tcPr>
            <w:tcW w:w="3587" w:type="pct"/>
            <w:gridSpan w:val="5"/>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18"/>
                <w:szCs w:val="20"/>
                <w:lang w:eastAsia="ru-RU"/>
              </w:rPr>
            </w:pPr>
            <w:r w:rsidRPr="00480DD8">
              <w:rPr>
                <w:rFonts w:ascii="Times New Roman" w:eastAsia="Times New Roman" w:hAnsi="Times New Roman" w:cs="Times New Roman"/>
                <w:b/>
                <w:color w:val="000000"/>
                <w:sz w:val="18"/>
                <w:szCs w:val="20"/>
                <w:lang w:eastAsia="ru-RU"/>
              </w:rPr>
              <w:t>Типи консалтингових продуктів</w:t>
            </w:r>
          </w:p>
        </w:tc>
      </w:tr>
      <w:tr w:rsidR="00480DD8" w:rsidRPr="00480DD8" w:rsidTr="00331F77">
        <w:trPr>
          <w:cantSplit/>
          <w:trHeight w:val="1366"/>
        </w:trPr>
        <w:tc>
          <w:tcPr>
            <w:tcW w:w="1413" w:type="pct"/>
            <w:vMerge/>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18"/>
                <w:szCs w:val="20"/>
                <w:lang w:eastAsia="ru-RU"/>
              </w:rPr>
            </w:pPr>
          </w:p>
        </w:tc>
        <w:tc>
          <w:tcPr>
            <w:tcW w:w="762" w:type="pct"/>
            <w:textDirection w:val="btLr"/>
            <w:vAlign w:val="center"/>
          </w:tcPr>
          <w:p w:rsidR="00480DD8" w:rsidRPr="00480DD8" w:rsidRDefault="00480DD8" w:rsidP="00480DD8">
            <w:pPr>
              <w:spacing w:after="0" w:line="240" w:lineRule="auto"/>
              <w:ind w:left="113" w:right="113"/>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Стратегічний консалтинг</w:t>
            </w:r>
          </w:p>
        </w:tc>
        <w:tc>
          <w:tcPr>
            <w:tcW w:w="763" w:type="pct"/>
            <w:textDirection w:val="btLr"/>
            <w:vAlign w:val="center"/>
          </w:tcPr>
          <w:p w:rsidR="00480DD8" w:rsidRPr="00480DD8" w:rsidRDefault="00480DD8" w:rsidP="00480DD8">
            <w:pPr>
              <w:spacing w:after="0" w:line="240" w:lineRule="auto"/>
              <w:ind w:left="113" w:right="113"/>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Фінансовий  консалтинг</w:t>
            </w:r>
          </w:p>
        </w:tc>
        <w:tc>
          <w:tcPr>
            <w:tcW w:w="763" w:type="pct"/>
            <w:textDirection w:val="btLr"/>
            <w:vAlign w:val="center"/>
          </w:tcPr>
          <w:p w:rsidR="00480DD8" w:rsidRPr="00480DD8" w:rsidRDefault="00480DD8" w:rsidP="00480DD8">
            <w:pPr>
              <w:spacing w:after="0" w:line="240" w:lineRule="auto"/>
              <w:ind w:left="113" w:right="113"/>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Операційний  консалтинг</w:t>
            </w:r>
          </w:p>
        </w:tc>
        <w:tc>
          <w:tcPr>
            <w:tcW w:w="653" w:type="pct"/>
            <w:textDirection w:val="btLr"/>
            <w:vAlign w:val="center"/>
          </w:tcPr>
          <w:p w:rsidR="00480DD8" w:rsidRPr="00480DD8" w:rsidRDefault="00480DD8" w:rsidP="00480DD8">
            <w:pPr>
              <w:spacing w:after="0" w:line="240" w:lineRule="auto"/>
              <w:ind w:left="113" w:right="113"/>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ІТ- консалтинг</w:t>
            </w:r>
          </w:p>
        </w:tc>
        <w:tc>
          <w:tcPr>
            <w:tcW w:w="646" w:type="pct"/>
            <w:textDirection w:val="btLr"/>
            <w:vAlign w:val="center"/>
          </w:tcPr>
          <w:p w:rsidR="00480DD8" w:rsidRPr="00480DD8" w:rsidRDefault="00480DD8" w:rsidP="00480DD8">
            <w:pPr>
              <w:spacing w:after="0" w:line="240" w:lineRule="auto"/>
              <w:ind w:left="113" w:right="113"/>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Управління  персоналом</w:t>
            </w:r>
          </w:p>
        </w:tc>
      </w:tr>
      <w:tr w:rsidR="00480DD8" w:rsidRPr="00480DD8" w:rsidTr="00331F77">
        <w:tc>
          <w:tcPr>
            <w:tcW w:w="1413" w:type="pct"/>
            <w:vAlign w:val="center"/>
          </w:tcPr>
          <w:p w:rsidR="00480DD8" w:rsidRPr="00480DD8" w:rsidRDefault="00480DD8" w:rsidP="00480DD8">
            <w:pPr>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Енергетика</w:t>
            </w:r>
          </w:p>
        </w:tc>
        <w:tc>
          <w:tcPr>
            <w:tcW w:w="762"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763"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763"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653"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646"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r>
      <w:tr w:rsidR="00480DD8" w:rsidRPr="00480DD8" w:rsidTr="00331F77">
        <w:tc>
          <w:tcPr>
            <w:tcW w:w="1413" w:type="pct"/>
            <w:vAlign w:val="center"/>
          </w:tcPr>
          <w:p w:rsidR="00480DD8" w:rsidRPr="00480DD8" w:rsidRDefault="00480DD8" w:rsidP="00480DD8">
            <w:pPr>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Металургія</w:t>
            </w:r>
          </w:p>
        </w:tc>
        <w:tc>
          <w:tcPr>
            <w:tcW w:w="762"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763"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763"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653"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646"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r>
      <w:tr w:rsidR="00480DD8" w:rsidRPr="00480DD8" w:rsidTr="00331F77">
        <w:tc>
          <w:tcPr>
            <w:tcW w:w="1413" w:type="pct"/>
            <w:vAlign w:val="center"/>
          </w:tcPr>
          <w:p w:rsidR="00480DD8" w:rsidRPr="00480DD8" w:rsidRDefault="00480DD8" w:rsidP="00480DD8">
            <w:pPr>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Телекомунікація</w:t>
            </w:r>
          </w:p>
        </w:tc>
        <w:tc>
          <w:tcPr>
            <w:tcW w:w="762" w:type="pct"/>
          </w:tcPr>
          <w:p w:rsidR="00480DD8" w:rsidRPr="00480DD8" w:rsidRDefault="00480DD8" w:rsidP="00480DD8">
            <w:pPr>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763"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763"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653"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646"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r>
      <w:tr w:rsidR="00480DD8" w:rsidRPr="00480DD8" w:rsidTr="00331F77">
        <w:tc>
          <w:tcPr>
            <w:tcW w:w="1413" w:type="pct"/>
            <w:vAlign w:val="center"/>
          </w:tcPr>
          <w:p w:rsidR="00480DD8" w:rsidRPr="00480DD8" w:rsidRDefault="00480DD8" w:rsidP="00480DD8">
            <w:pPr>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Харчова промисловість</w:t>
            </w:r>
          </w:p>
        </w:tc>
        <w:tc>
          <w:tcPr>
            <w:tcW w:w="762" w:type="pct"/>
          </w:tcPr>
          <w:p w:rsidR="00480DD8" w:rsidRPr="00480DD8" w:rsidRDefault="00480DD8" w:rsidP="00480DD8">
            <w:pPr>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763"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763"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653"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646"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r>
      <w:tr w:rsidR="00480DD8" w:rsidRPr="00480DD8" w:rsidTr="00331F77">
        <w:tc>
          <w:tcPr>
            <w:tcW w:w="1413" w:type="pct"/>
            <w:vAlign w:val="center"/>
          </w:tcPr>
          <w:p w:rsidR="00480DD8" w:rsidRPr="00480DD8" w:rsidRDefault="00480DD8" w:rsidP="00480DD8">
            <w:pPr>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Будівництво</w:t>
            </w:r>
          </w:p>
        </w:tc>
        <w:tc>
          <w:tcPr>
            <w:tcW w:w="762"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763"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763"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653"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646"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r>
      <w:tr w:rsidR="00480DD8" w:rsidRPr="00480DD8" w:rsidTr="00331F77">
        <w:tc>
          <w:tcPr>
            <w:tcW w:w="1413" w:type="pct"/>
            <w:vAlign w:val="center"/>
          </w:tcPr>
          <w:p w:rsidR="00480DD8" w:rsidRPr="00480DD8" w:rsidRDefault="00480DD8" w:rsidP="00480DD8">
            <w:pPr>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Фінансовий сектор</w:t>
            </w:r>
          </w:p>
        </w:tc>
        <w:tc>
          <w:tcPr>
            <w:tcW w:w="762"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763"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763"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653"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646"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r>
      <w:tr w:rsidR="00480DD8" w:rsidRPr="00480DD8" w:rsidTr="00331F77">
        <w:tc>
          <w:tcPr>
            <w:tcW w:w="1413" w:type="pct"/>
            <w:vAlign w:val="center"/>
          </w:tcPr>
          <w:p w:rsidR="00480DD8" w:rsidRPr="00480DD8" w:rsidRDefault="00480DD8" w:rsidP="00480DD8">
            <w:pPr>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Торгівля</w:t>
            </w:r>
          </w:p>
        </w:tc>
        <w:tc>
          <w:tcPr>
            <w:tcW w:w="762"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763"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763"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653"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646"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r>
      <w:tr w:rsidR="00480DD8" w:rsidRPr="00480DD8" w:rsidTr="00331F77">
        <w:tc>
          <w:tcPr>
            <w:tcW w:w="1413" w:type="pct"/>
            <w:vAlign w:val="center"/>
          </w:tcPr>
          <w:p w:rsidR="00480DD8" w:rsidRPr="00480DD8" w:rsidRDefault="00480DD8" w:rsidP="00480DD8">
            <w:pPr>
              <w:spacing w:after="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Нафтогазовий сектор</w:t>
            </w:r>
          </w:p>
        </w:tc>
        <w:tc>
          <w:tcPr>
            <w:tcW w:w="762"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763"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763"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653"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646" w:type="pct"/>
            <w:vAlign w:val="center"/>
          </w:tcPr>
          <w:p w:rsidR="00480DD8" w:rsidRPr="00480DD8" w:rsidRDefault="00480DD8" w:rsidP="00480DD8">
            <w:pPr>
              <w:spacing w:after="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r>
      <w:tr w:rsidR="00480DD8" w:rsidRPr="00480DD8" w:rsidTr="00331F77">
        <w:tc>
          <w:tcPr>
            <w:tcW w:w="1413" w:type="pct"/>
            <w:vAlign w:val="center"/>
          </w:tcPr>
          <w:p w:rsidR="00480DD8" w:rsidRPr="00480DD8" w:rsidRDefault="00480DD8" w:rsidP="00480DD8">
            <w:pPr>
              <w:spacing w:after="120" w:line="240" w:lineRule="auto"/>
              <w:jc w:val="center"/>
              <w:rPr>
                <w:rFonts w:ascii="Times New Roman" w:eastAsia="Times New Roman" w:hAnsi="Times New Roman" w:cs="Times New Roman"/>
                <w:color w:val="000000"/>
                <w:sz w:val="20"/>
                <w:szCs w:val="20"/>
                <w:lang w:eastAsia="ru-RU"/>
              </w:rPr>
            </w:pPr>
            <w:r w:rsidRPr="00480DD8">
              <w:rPr>
                <w:rFonts w:ascii="Times New Roman" w:eastAsia="Times New Roman" w:hAnsi="Times New Roman" w:cs="Times New Roman"/>
                <w:color w:val="000000"/>
                <w:sz w:val="20"/>
                <w:szCs w:val="20"/>
                <w:lang w:eastAsia="ru-RU"/>
              </w:rPr>
              <w:t>Машинобудування</w:t>
            </w:r>
          </w:p>
        </w:tc>
        <w:tc>
          <w:tcPr>
            <w:tcW w:w="762" w:type="pct"/>
            <w:vAlign w:val="center"/>
          </w:tcPr>
          <w:p w:rsidR="00480DD8" w:rsidRPr="00480DD8" w:rsidRDefault="00480DD8" w:rsidP="00480DD8">
            <w:pPr>
              <w:spacing w:after="12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763" w:type="pct"/>
            <w:vAlign w:val="center"/>
          </w:tcPr>
          <w:p w:rsidR="00480DD8" w:rsidRPr="00480DD8" w:rsidRDefault="00480DD8" w:rsidP="00480DD8">
            <w:pPr>
              <w:spacing w:after="12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763" w:type="pct"/>
            <w:vAlign w:val="center"/>
          </w:tcPr>
          <w:p w:rsidR="00480DD8" w:rsidRPr="00480DD8" w:rsidRDefault="00480DD8" w:rsidP="00480DD8">
            <w:pPr>
              <w:spacing w:after="12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653" w:type="pct"/>
            <w:vAlign w:val="center"/>
          </w:tcPr>
          <w:p w:rsidR="00480DD8" w:rsidRPr="00480DD8" w:rsidRDefault="00480DD8" w:rsidP="00480DD8">
            <w:pPr>
              <w:spacing w:after="12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c>
          <w:tcPr>
            <w:tcW w:w="646" w:type="pct"/>
            <w:vAlign w:val="center"/>
          </w:tcPr>
          <w:p w:rsidR="00480DD8" w:rsidRPr="00480DD8" w:rsidRDefault="00480DD8" w:rsidP="00480DD8">
            <w:pPr>
              <w:spacing w:after="120" w:line="240" w:lineRule="auto"/>
              <w:jc w:val="center"/>
              <w:rPr>
                <w:rFonts w:ascii="Times New Roman" w:eastAsia="Times New Roman" w:hAnsi="Times New Roman" w:cs="Times New Roman"/>
                <w:b/>
                <w:color w:val="000000"/>
                <w:sz w:val="20"/>
                <w:szCs w:val="20"/>
                <w:lang w:eastAsia="ru-RU"/>
              </w:rPr>
            </w:pPr>
            <w:r w:rsidRPr="00480DD8">
              <w:rPr>
                <w:rFonts w:ascii="Times New Roman" w:eastAsia="Times New Roman" w:hAnsi="Times New Roman" w:cs="Times New Roman"/>
                <w:b/>
                <w:color w:val="000000"/>
                <w:sz w:val="20"/>
                <w:szCs w:val="20"/>
                <w:lang w:eastAsia="ru-RU"/>
              </w:rPr>
              <w:t>+</w:t>
            </w:r>
          </w:p>
        </w:tc>
      </w:tr>
    </w:tbl>
    <w:p w:rsidR="00480DD8" w:rsidRPr="00480DD8" w:rsidRDefault="00480DD8" w:rsidP="00480DD8">
      <w:pPr>
        <w:spacing w:after="120" w:line="240" w:lineRule="auto"/>
        <w:jc w:val="both"/>
        <w:rPr>
          <w:rFonts w:ascii="Times New Roman" w:eastAsia="Times New Roman" w:hAnsi="Times New Roman" w:cs="Times New Roman"/>
          <w:i/>
          <w:color w:val="000000"/>
          <w:sz w:val="20"/>
          <w:szCs w:val="20"/>
          <w:lang w:eastAsia="ru-RU"/>
        </w:rPr>
      </w:pPr>
      <w:r w:rsidRPr="00480DD8">
        <w:rPr>
          <w:rFonts w:ascii="Times New Roman" w:eastAsia="Times New Roman" w:hAnsi="Times New Roman" w:cs="Times New Roman"/>
          <w:b/>
          <w:i/>
          <w:color w:val="000000"/>
          <w:sz w:val="20"/>
          <w:szCs w:val="20"/>
          <w:lang w:eastAsia="ru-RU"/>
        </w:rPr>
        <w:t>*</w:t>
      </w:r>
      <w:r w:rsidRPr="00480DD8">
        <w:rPr>
          <w:rFonts w:ascii="Times New Roman" w:eastAsia="Times New Roman" w:hAnsi="Times New Roman" w:cs="Times New Roman"/>
          <w:i/>
          <w:color w:val="000000"/>
          <w:sz w:val="20"/>
          <w:szCs w:val="20"/>
          <w:lang w:eastAsia="ru-RU"/>
        </w:rPr>
        <w:t>Примітка: «+» - невелика кількість наданих консультаційних послуг;         «++» - середня кількість послуг; «+++» - значна кількість послуг.</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shd w:val="clear" w:color="auto" w:fill="FFFFFF"/>
          <w:lang w:eastAsia="ru-RU"/>
        </w:rPr>
      </w:pPr>
      <w:r w:rsidRPr="00480DD8">
        <w:rPr>
          <w:rFonts w:ascii="Times New Roman" w:eastAsia="Times New Roman" w:hAnsi="Times New Roman" w:cs="Times New Roman"/>
          <w:color w:val="000000"/>
          <w:sz w:val="24"/>
          <w:szCs w:val="20"/>
          <w:shd w:val="clear" w:color="auto" w:fill="FFFFFF"/>
          <w:lang w:eastAsia="ru-RU"/>
        </w:rPr>
        <w:t>Така концентрація зумовлена розташуванням у столиці центральних офісів “великої четвірки” аудиторських компаній, лідерів світового консалтингу, провідних українських компаній.</w:t>
      </w:r>
    </w:p>
    <w:p w:rsidR="00480DD8" w:rsidRPr="00480DD8" w:rsidRDefault="00480DD8" w:rsidP="00480DD8">
      <w:pPr>
        <w:shd w:val="clear" w:color="auto" w:fill="FFFFFF"/>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Компанії, котрі надають консультаційні послуги вітчизняному ринку, можна розподілити на наступні групи.</w:t>
      </w:r>
    </w:p>
    <w:p w:rsidR="00480DD8" w:rsidRPr="00480DD8" w:rsidRDefault="00480DD8" w:rsidP="00480DD8">
      <w:pPr>
        <w:shd w:val="clear" w:color="auto" w:fill="FFFFFF"/>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1. </w:t>
      </w:r>
      <w:proofErr w:type="spellStart"/>
      <w:r w:rsidRPr="00480DD8">
        <w:rPr>
          <w:rFonts w:ascii="Times New Roman" w:eastAsia="Times New Roman" w:hAnsi="Times New Roman" w:cs="Times New Roman"/>
          <w:i/>
          <w:color w:val="000000"/>
          <w:sz w:val="24"/>
          <w:szCs w:val="20"/>
          <w:lang w:eastAsia="ru-RU"/>
        </w:rPr>
        <w:t>Квазіконсультаційні</w:t>
      </w:r>
      <w:proofErr w:type="spellEnd"/>
      <w:r w:rsidRPr="00480DD8">
        <w:rPr>
          <w:rFonts w:ascii="Times New Roman" w:eastAsia="Times New Roman" w:hAnsi="Times New Roman" w:cs="Times New Roman"/>
          <w:i/>
          <w:color w:val="000000"/>
          <w:sz w:val="24"/>
          <w:szCs w:val="20"/>
          <w:lang w:eastAsia="ru-RU"/>
        </w:rPr>
        <w:t xml:space="preserve"> компанії.</w:t>
      </w:r>
      <w:r w:rsidRPr="00480DD8">
        <w:rPr>
          <w:rFonts w:ascii="Times New Roman" w:eastAsia="Times New Roman" w:hAnsi="Times New Roman" w:cs="Times New Roman"/>
          <w:color w:val="000000"/>
          <w:sz w:val="24"/>
          <w:szCs w:val="20"/>
          <w:lang w:eastAsia="ru-RU"/>
        </w:rPr>
        <w:t xml:space="preserve"> Як правило, не мають постійного штату консультантів і є або чисто фіктивними юридичними утвореннями, або мають цілком відмінний від консалтингу профіль діяльності. Питома вага таких компаній значна в великих і середніх містах, меншою мірою це характерно для столиці, де вже склався ринок консультаційних послуг.</w:t>
      </w:r>
    </w:p>
    <w:p w:rsidR="00480DD8" w:rsidRPr="00480DD8" w:rsidRDefault="00480DD8" w:rsidP="00480DD8">
      <w:pPr>
        <w:shd w:val="clear" w:color="auto" w:fill="FFFFFF"/>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2. </w:t>
      </w:r>
      <w:r w:rsidRPr="00480DD8">
        <w:rPr>
          <w:rFonts w:ascii="Times New Roman" w:eastAsia="Times New Roman" w:hAnsi="Times New Roman" w:cs="Times New Roman"/>
          <w:i/>
          <w:color w:val="000000"/>
          <w:sz w:val="24"/>
          <w:szCs w:val="20"/>
          <w:lang w:eastAsia="ru-RU"/>
        </w:rPr>
        <w:t>Дрібні консалтингові фірми.</w:t>
      </w:r>
      <w:r w:rsidRPr="00480DD8">
        <w:rPr>
          <w:rFonts w:ascii="Times New Roman" w:eastAsia="Times New Roman" w:hAnsi="Times New Roman" w:cs="Times New Roman"/>
          <w:color w:val="000000"/>
          <w:sz w:val="24"/>
          <w:szCs w:val="20"/>
          <w:lang w:eastAsia="ru-RU"/>
        </w:rPr>
        <w:t xml:space="preserve"> Більшість із них укомплектовані високопрофесійними спеціалістами. Перевагою й одночасно недоліком цих компаній є їх невеликий розмір (чисельність персоналу від 1 до 5 чоловік). Свої послуги вони пропонують за помірну ціну. Накладні витрати таких фірм відносно невеликі, їх більша частина складається з витрат на оплату праці. Водночас, невелика чисельність персоналу означає невеликі можливості щодо збору інформації, спектру договорів, що укладаються, і широти їх охоплення.</w:t>
      </w:r>
    </w:p>
    <w:p w:rsidR="00480DD8" w:rsidRPr="00480DD8" w:rsidRDefault="00480DD8" w:rsidP="00480DD8">
      <w:pPr>
        <w:shd w:val="clear" w:color="auto" w:fill="FFFFFF"/>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3. </w:t>
      </w:r>
      <w:r w:rsidRPr="00480DD8">
        <w:rPr>
          <w:rFonts w:ascii="Times New Roman" w:eastAsia="Times New Roman" w:hAnsi="Times New Roman" w:cs="Times New Roman"/>
          <w:i/>
          <w:color w:val="000000"/>
          <w:sz w:val="24"/>
          <w:szCs w:val="20"/>
          <w:lang w:eastAsia="ru-RU"/>
        </w:rPr>
        <w:t>Середні і великі консалтингові фірми.</w:t>
      </w:r>
      <w:r w:rsidRPr="00480DD8">
        <w:rPr>
          <w:rFonts w:ascii="Times New Roman" w:eastAsia="Times New Roman" w:hAnsi="Times New Roman" w:cs="Times New Roman"/>
          <w:color w:val="000000"/>
          <w:sz w:val="24"/>
          <w:szCs w:val="20"/>
          <w:lang w:eastAsia="ru-RU"/>
        </w:rPr>
        <w:t xml:space="preserve"> Ця група консультаційних фірм є найбільш збалансованою стосовно потреб клієнта. Вартість їх послуг істотно вища, ніж у дрібних фірмах (за рахунок накладних витрат), але вони більш повно задовольняють запити клієнтів. </w:t>
      </w:r>
    </w:p>
    <w:p w:rsidR="00480DD8" w:rsidRPr="00480DD8" w:rsidRDefault="00480DD8" w:rsidP="00480DD8">
      <w:pPr>
        <w:shd w:val="clear" w:color="auto" w:fill="FFFFFF"/>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4. </w:t>
      </w:r>
      <w:r w:rsidRPr="00480DD8">
        <w:rPr>
          <w:rFonts w:ascii="Times New Roman" w:eastAsia="Times New Roman" w:hAnsi="Times New Roman" w:cs="Times New Roman"/>
          <w:i/>
          <w:color w:val="000000"/>
          <w:sz w:val="24"/>
          <w:szCs w:val="20"/>
          <w:lang w:eastAsia="ru-RU"/>
        </w:rPr>
        <w:t>Іноземні консалтингові фірми.</w:t>
      </w:r>
      <w:r w:rsidRPr="00480DD8">
        <w:rPr>
          <w:rFonts w:ascii="Times New Roman" w:eastAsia="Times New Roman" w:hAnsi="Times New Roman" w:cs="Times New Roman"/>
          <w:color w:val="000000"/>
          <w:sz w:val="24"/>
          <w:szCs w:val="20"/>
          <w:lang w:eastAsia="ru-RU"/>
        </w:rPr>
        <w:t xml:space="preserve"> Пропонують консультації з питань оподатковування, структурного управління, бізнес-планування, реструктуризації компаній, інвестицій, </w:t>
      </w:r>
      <w:r w:rsidRPr="00480DD8">
        <w:rPr>
          <w:rFonts w:ascii="Times New Roman" w:eastAsia="Times New Roman" w:hAnsi="Times New Roman" w:cs="Times New Roman"/>
          <w:color w:val="000000"/>
          <w:sz w:val="24"/>
          <w:szCs w:val="20"/>
          <w:lang w:eastAsia="ru-RU"/>
        </w:rPr>
        <w:lastRenderedPageBreak/>
        <w:t>підприємництва, приватизації. Останнім часом в практиці іноземних фірм з'явилась тенденція залучення до свого персоналу українських спеціалістів. Це пов'язане з високим рівнем їх професіоналізму, знанням психології українського народу і недоліків українського ринку.</w:t>
      </w:r>
    </w:p>
    <w:p w:rsidR="00480DD8" w:rsidRPr="00480DD8" w:rsidRDefault="00480DD8" w:rsidP="00480DD8">
      <w:pPr>
        <w:shd w:val="clear" w:color="auto" w:fill="FFFFFF"/>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За даними досліджень, 42% консультаційних фірм в Україні займаються тільки консультаційною діяльністю. У 30% фірм частка консультаційної діяльності в структурі доходів становить 80% і більше. Кількість організацій, які мають відділи консультування, становить 23% від загальної кількості всіх українських суб'єктів підприємництва.</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Ринок консалтингових послуг України характеризується переважанням предметними, вузькоспеціалізованими сферами діяльності, як то ІТ-технології, фінансовий та юридичний консалтинг, аудит, маркетингові дослідження,  підбір кадрів та управління персоналом. Ці напрями займають більше 70%  ринку. </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Це пов’язано з проблемами адаптації українських компаній до європейських стандартів ведення бізнесу та недостатнім рівнем інтегрованості українських консалтингових компаній у міжнародні консалтингові об’єднання.</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Отримання предметної інформації суттєво звужує сферу застосування консалтингу і зменшує цінність отриманих послуг.</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Такі сфери консалтингу,  як  стратегічне  управління, </w:t>
      </w:r>
      <w:proofErr w:type="spellStart"/>
      <w:r w:rsidRPr="00480DD8">
        <w:rPr>
          <w:rFonts w:ascii="Times New Roman" w:eastAsia="Times New Roman" w:hAnsi="Times New Roman" w:cs="Times New Roman"/>
          <w:color w:val="000000"/>
          <w:sz w:val="24"/>
          <w:szCs w:val="20"/>
          <w:lang w:eastAsia="ru-RU"/>
        </w:rPr>
        <w:t>коучинг</w:t>
      </w:r>
      <w:proofErr w:type="spellEnd"/>
      <w:r w:rsidRPr="00480DD8">
        <w:rPr>
          <w:rFonts w:ascii="Times New Roman" w:eastAsia="Times New Roman" w:hAnsi="Times New Roman" w:cs="Times New Roman"/>
          <w:color w:val="000000"/>
          <w:sz w:val="24"/>
          <w:szCs w:val="20"/>
          <w:lang w:eastAsia="ru-RU"/>
        </w:rPr>
        <w:t>, екологічний консалтинг, організаційні діагностика  та поведінка, які спроможні підвищувати ефективність функціонування вітчизняних підприємств, залишаються недостатньо затребуваними На відміну від своїх західних колег, які свідомо відмовляються від частини управлінських функцій, а відтак і частки прибутку, на користь консалтингових фірм, що спеціалізуються у цій сфері діяльності, українські підприємства економлять на консалтингу.</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У таблиці 3.7. приведена структура ринку консалтингових послуг у 2014-2015 рр.</w:t>
      </w:r>
    </w:p>
    <w:p w:rsidR="00480DD8" w:rsidRPr="00480DD8" w:rsidRDefault="00480DD8" w:rsidP="00480DD8">
      <w:pPr>
        <w:spacing w:after="0" w:line="240" w:lineRule="auto"/>
        <w:ind w:firstLine="567"/>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Пріоритетними напрямами державної регуляторної політики, спрямованої на розвиток в Україні цивілізованого ринку консалтингових послуг, є такі: </w:t>
      </w:r>
    </w:p>
    <w:p w:rsidR="00480DD8" w:rsidRPr="00480DD8" w:rsidRDefault="00480DD8" w:rsidP="00480DD8">
      <w:pPr>
        <w:spacing w:after="0" w:line="240" w:lineRule="auto"/>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розвиток інституційної інфраструктури консалтингового ринку на основі адаптації європейських принципів і норм регулювання діяльності консалтингових фірм;</w:t>
      </w:r>
    </w:p>
    <w:p w:rsidR="00480DD8" w:rsidRPr="00480DD8" w:rsidRDefault="00480DD8" w:rsidP="00480DD8">
      <w:pPr>
        <w:spacing w:after="0" w:line="240" w:lineRule="auto"/>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посилення  інформаційної  складової  у  роботі  органів державної влади та місцевого самоврядування, розширення державно-приватного партнерства;</w:t>
      </w:r>
    </w:p>
    <w:p w:rsidR="00480DD8" w:rsidRPr="00480DD8" w:rsidRDefault="00480DD8" w:rsidP="00480DD8">
      <w:pPr>
        <w:spacing w:after="0" w:line="240" w:lineRule="auto"/>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  – удосконалення системи кадрового  забезпечення вітчизняного консалтингу і </w:t>
      </w:r>
      <w:proofErr w:type="spellStart"/>
      <w:r w:rsidRPr="00480DD8">
        <w:rPr>
          <w:rFonts w:ascii="Times New Roman" w:eastAsia="Times New Roman" w:hAnsi="Times New Roman" w:cs="Times New Roman"/>
          <w:color w:val="000000"/>
          <w:sz w:val="24"/>
          <w:szCs w:val="20"/>
          <w:lang w:eastAsia="ru-RU"/>
        </w:rPr>
        <w:t>дорадництва</w:t>
      </w:r>
      <w:proofErr w:type="spellEnd"/>
      <w:r w:rsidRPr="00480DD8">
        <w:rPr>
          <w:rFonts w:ascii="Times New Roman" w:eastAsia="Times New Roman" w:hAnsi="Times New Roman" w:cs="Times New Roman"/>
          <w:color w:val="000000"/>
          <w:sz w:val="24"/>
          <w:szCs w:val="20"/>
          <w:lang w:eastAsia="ru-RU"/>
        </w:rPr>
        <w:t>, створення умов для підготовки та перепідготовки фахівців консалтингового ринку;</w:t>
      </w:r>
    </w:p>
    <w:p w:rsidR="00480DD8" w:rsidRPr="00480DD8" w:rsidRDefault="00480DD8" w:rsidP="00480DD8">
      <w:pPr>
        <w:spacing w:after="0" w:line="240" w:lineRule="auto"/>
        <w:jc w:val="both"/>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 xml:space="preserve">– посилення  автономії  вищих  навчальних  закладів  та  наукових  установ, стимулювання конкуренції на ринку навчально-освітніх та інтелектуальних послуг. </w:t>
      </w:r>
    </w:p>
    <w:p w:rsidR="00480DD8" w:rsidRPr="00480DD8" w:rsidRDefault="00480DD8" w:rsidP="00480DD8">
      <w:pPr>
        <w:spacing w:after="0" w:line="240" w:lineRule="auto"/>
        <w:ind w:firstLine="567"/>
        <w:jc w:val="right"/>
        <w:rPr>
          <w:rFonts w:ascii="Times New Roman" w:eastAsia="Times New Roman" w:hAnsi="Times New Roman" w:cs="Times New Roman"/>
          <w:i/>
          <w:color w:val="000000"/>
          <w:sz w:val="24"/>
          <w:szCs w:val="20"/>
          <w:lang w:eastAsia="ru-RU"/>
        </w:rPr>
      </w:pPr>
      <w:r w:rsidRPr="00480DD8">
        <w:rPr>
          <w:rFonts w:ascii="Times New Roman" w:eastAsia="Times New Roman" w:hAnsi="Times New Roman" w:cs="Times New Roman"/>
          <w:i/>
          <w:color w:val="000000"/>
          <w:sz w:val="24"/>
          <w:szCs w:val="20"/>
          <w:lang w:eastAsia="ru-RU"/>
        </w:rPr>
        <w:t>Таблиця 3.7</w:t>
      </w:r>
    </w:p>
    <w:p w:rsidR="00480DD8" w:rsidRPr="00480DD8" w:rsidRDefault="00480DD8" w:rsidP="00480DD8">
      <w:pPr>
        <w:spacing w:after="0" w:line="240" w:lineRule="auto"/>
        <w:ind w:firstLine="567"/>
        <w:jc w:val="center"/>
        <w:rPr>
          <w:rFonts w:ascii="Times New Roman" w:eastAsia="Times New Roman" w:hAnsi="Times New Roman" w:cs="Times New Roman"/>
          <w:b/>
          <w:color w:val="000000"/>
          <w:sz w:val="24"/>
          <w:szCs w:val="20"/>
          <w:lang w:eastAsia="ru-RU"/>
        </w:rPr>
      </w:pPr>
      <w:r w:rsidRPr="00480DD8">
        <w:rPr>
          <w:rFonts w:ascii="Times New Roman" w:eastAsia="Times New Roman" w:hAnsi="Times New Roman" w:cs="Times New Roman"/>
          <w:b/>
          <w:color w:val="000000"/>
          <w:sz w:val="24"/>
          <w:szCs w:val="20"/>
          <w:lang w:eastAsia="ru-RU"/>
        </w:rPr>
        <w:t xml:space="preserve">Галузева структура ринку консалтингових послуг в Україні (за даними </w:t>
      </w:r>
      <w:proofErr w:type="spellStart"/>
      <w:r w:rsidRPr="00480DD8">
        <w:rPr>
          <w:rFonts w:ascii="Times New Roman" w:eastAsia="Times New Roman" w:hAnsi="Times New Roman" w:cs="Times New Roman"/>
          <w:b/>
          <w:color w:val="000000"/>
          <w:sz w:val="24"/>
          <w:szCs w:val="20"/>
          <w:lang w:eastAsia="ru-RU"/>
        </w:rPr>
        <w:t>ProConsalting</w:t>
      </w:r>
      <w:proofErr w:type="spellEnd"/>
      <w:r w:rsidRPr="00480DD8">
        <w:rPr>
          <w:rFonts w:ascii="Times New Roman" w:eastAsia="Times New Roman" w:hAnsi="Times New Roman" w:cs="Times New Roman"/>
          <w:b/>
          <w:color w:val="000000"/>
          <w:sz w:val="24"/>
          <w:szCs w:val="20"/>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992"/>
        <w:gridCol w:w="985"/>
      </w:tblGrid>
      <w:tr w:rsidR="00480DD8" w:rsidRPr="00480DD8" w:rsidTr="00331F77">
        <w:tc>
          <w:tcPr>
            <w:tcW w:w="4361"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Вид консалтингу</w:t>
            </w:r>
          </w:p>
        </w:tc>
        <w:tc>
          <w:tcPr>
            <w:tcW w:w="992"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2014</w:t>
            </w:r>
          </w:p>
        </w:tc>
        <w:tc>
          <w:tcPr>
            <w:tcW w:w="985"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2015</w:t>
            </w:r>
          </w:p>
        </w:tc>
      </w:tr>
      <w:tr w:rsidR="00480DD8" w:rsidRPr="00480DD8" w:rsidTr="00331F77">
        <w:tc>
          <w:tcPr>
            <w:tcW w:w="4361" w:type="dxa"/>
          </w:tcPr>
          <w:p w:rsidR="00480DD8" w:rsidRPr="00480DD8" w:rsidRDefault="00480DD8" w:rsidP="00480DD8">
            <w:pPr>
              <w:spacing w:after="0" w:line="240" w:lineRule="auto"/>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Інформаційні технології</w:t>
            </w:r>
          </w:p>
        </w:tc>
        <w:tc>
          <w:tcPr>
            <w:tcW w:w="992"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30,0</w:t>
            </w:r>
          </w:p>
        </w:tc>
        <w:tc>
          <w:tcPr>
            <w:tcW w:w="985"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27,1</w:t>
            </w:r>
          </w:p>
        </w:tc>
      </w:tr>
      <w:tr w:rsidR="00480DD8" w:rsidRPr="00480DD8" w:rsidTr="00331F77">
        <w:tc>
          <w:tcPr>
            <w:tcW w:w="4361" w:type="dxa"/>
          </w:tcPr>
          <w:p w:rsidR="00480DD8" w:rsidRPr="00480DD8" w:rsidRDefault="00480DD8" w:rsidP="00480DD8">
            <w:pPr>
              <w:spacing w:after="0" w:line="240" w:lineRule="auto"/>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Юридичний консалтинг</w:t>
            </w:r>
          </w:p>
        </w:tc>
        <w:tc>
          <w:tcPr>
            <w:tcW w:w="992"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13,0</w:t>
            </w:r>
          </w:p>
        </w:tc>
        <w:tc>
          <w:tcPr>
            <w:tcW w:w="985"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20,6</w:t>
            </w:r>
          </w:p>
        </w:tc>
      </w:tr>
      <w:tr w:rsidR="00480DD8" w:rsidRPr="00480DD8" w:rsidTr="00331F77">
        <w:tc>
          <w:tcPr>
            <w:tcW w:w="4361" w:type="dxa"/>
          </w:tcPr>
          <w:p w:rsidR="00480DD8" w:rsidRPr="00480DD8" w:rsidRDefault="00480DD8" w:rsidP="00480DD8">
            <w:pPr>
              <w:spacing w:after="0" w:line="240" w:lineRule="auto"/>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Дослідження ринків</w:t>
            </w:r>
          </w:p>
        </w:tc>
        <w:tc>
          <w:tcPr>
            <w:tcW w:w="992"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13,0</w:t>
            </w:r>
          </w:p>
        </w:tc>
        <w:tc>
          <w:tcPr>
            <w:tcW w:w="985"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19,3</w:t>
            </w:r>
          </w:p>
        </w:tc>
      </w:tr>
      <w:tr w:rsidR="00480DD8" w:rsidRPr="00480DD8" w:rsidTr="00331F77">
        <w:tc>
          <w:tcPr>
            <w:tcW w:w="4361" w:type="dxa"/>
          </w:tcPr>
          <w:p w:rsidR="00480DD8" w:rsidRPr="00480DD8" w:rsidRDefault="00480DD8" w:rsidP="00480DD8">
            <w:pPr>
              <w:spacing w:after="0" w:line="240" w:lineRule="auto"/>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Фінансовий консалтинг і аудит</w:t>
            </w:r>
          </w:p>
        </w:tc>
        <w:tc>
          <w:tcPr>
            <w:tcW w:w="992"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18,0</w:t>
            </w:r>
          </w:p>
        </w:tc>
        <w:tc>
          <w:tcPr>
            <w:tcW w:w="985"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15,0</w:t>
            </w:r>
          </w:p>
        </w:tc>
      </w:tr>
      <w:tr w:rsidR="00480DD8" w:rsidRPr="00480DD8" w:rsidTr="00331F77">
        <w:tc>
          <w:tcPr>
            <w:tcW w:w="4361" w:type="dxa"/>
          </w:tcPr>
          <w:p w:rsidR="00480DD8" w:rsidRPr="00480DD8" w:rsidRDefault="00480DD8" w:rsidP="00480DD8">
            <w:pPr>
              <w:spacing w:after="0" w:line="240" w:lineRule="auto"/>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Реорганізація і реструктуризація бізнесу</w:t>
            </w:r>
          </w:p>
        </w:tc>
        <w:tc>
          <w:tcPr>
            <w:tcW w:w="992"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8,0</w:t>
            </w:r>
          </w:p>
        </w:tc>
        <w:tc>
          <w:tcPr>
            <w:tcW w:w="985"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w:t>
            </w:r>
          </w:p>
        </w:tc>
      </w:tr>
      <w:tr w:rsidR="00480DD8" w:rsidRPr="00480DD8" w:rsidTr="00331F77">
        <w:tc>
          <w:tcPr>
            <w:tcW w:w="4361" w:type="dxa"/>
          </w:tcPr>
          <w:p w:rsidR="00480DD8" w:rsidRPr="00480DD8" w:rsidRDefault="00480DD8" w:rsidP="00480DD8">
            <w:pPr>
              <w:spacing w:after="0" w:line="240" w:lineRule="auto"/>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Тренінги та семінари</w:t>
            </w:r>
          </w:p>
        </w:tc>
        <w:tc>
          <w:tcPr>
            <w:tcW w:w="992"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5,0</w:t>
            </w:r>
          </w:p>
        </w:tc>
        <w:tc>
          <w:tcPr>
            <w:tcW w:w="985"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w:t>
            </w:r>
          </w:p>
        </w:tc>
      </w:tr>
      <w:tr w:rsidR="00480DD8" w:rsidRPr="00480DD8" w:rsidTr="00331F77">
        <w:tc>
          <w:tcPr>
            <w:tcW w:w="4361" w:type="dxa"/>
          </w:tcPr>
          <w:p w:rsidR="00480DD8" w:rsidRPr="00480DD8" w:rsidRDefault="00480DD8" w:rsidP="00480DD8">
            <w:pPr>
              <w:spacing w:after="0" w:line="240" w:lineRule="auto"/>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Інші (оцінювання, управління персоналом, управління якістю та сертифікація, екологічний консалтинг)</w:t>
            </w:r>
          </w:p>
        </w:tc>
        <w:tc>
          <w:tcPr>
            <w:tcW w:w="992"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13,0</w:t>
            </w:r>
          </w:p>
        </w:tc>
        <w:tc>
          <w:tcPr>
            <w:tcW w:w="985" w:type="dxa"/>
          </w:tcPr>
          <w:p w:rsidR="00480DD8" w:rsidRPr="00480DD8" w:rsidRDefault="00480DD8" w:rsidP="00480DD8">
            <w:pPr>
              <w:spacing w:after="0" w:line="240" w:lineRule="auto"/>
              <w:jc w:val="center"/>
              <w:rPr>
                <w:rFonts w:ascii="Times New Roman" w:eastAsia="Times New Roman" w:hAnsi="Times New Roman" w:cs="Times New Roman"/>
                <w:color w:val="000000"/>
                <w:sz w:val="24"/>
                <w:szCs w:val="20"/>
                <w:lang w:eastAsia="ru-RU"/>
              </w:rPr>
            </w:pPr>
            <w:r w:rsidRPr="00480DD8">
              <w:rPr>
                <w:rFonts w:ascii="Times New Roman" w:eastAsia="Times New Roman" w:hAnsi="Times New Roman" w:cs="Times New Roman"/>
                <w:color w:val="000000"/>
                <w:sz w:val="24"/>
                <w:szCs w:val="20"/>
                <w:lang w:eastAsia="ru-RU"/>
              </w:rPr>
              <w:t>18,0</w:t>
            </w:r>
          </w:p>
        </w:tc>
      </w:tr>
    </w:tbl>
    <w:p w:rsidR="00480DD8" w:rsidRPr="00480DD8" w:rsidRDefault="00480DD8" w:rsidP="00480DD8">
      <w:pPr>
        <w:spacing w:after="0" w:line="240" w:lineRule="auto"/>
        <w:ind w:firstLine="567"/>
        <w:jc w:val="center"/>
        <w:rPr>
          <w:rFonts w:ascii="Times New Roman" w:eastAsia="Times New Roman" w:hAnsi="Times New Roman" w:cs="Times New Roman"/>
          <w:color w:val="000000"/>
          <w:sz w:val="24"/>
          <w:szCs w:val="20"/>
          <w:lang w:eastAsia="ru-RU"/>
        </w:rPr>
      </w:pPr>
    </w:p>
    <w:p w:rsidR="00BF53E1" w:rsidRDefault="00BF53E1">
      <w:bookmarkStart w:id="5" w:name="_GoBack"/>
      <w:bookmarkEnd w:id="5"/>
    </w:p>
    <w:sectPr w:rsidR="00BF53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3D18"/>
    <w:multiLevelType w:val="multilevel"/>
    <w:tmpl w:val="1CA67376"/>
    <w:lvl w:ilvl="0">
      <w:start w:val="1"/>
      <w:numFmt w:val="bullet"/>
      <w:lvlText w:val="-"/>
      <w:lvlJc w:val="left"/>
      <w:pPr>
        <w:ind w:left="1287" w:hanging="360"/>
      </w:pPr>
      <w:rPr>
        <w:rFonts w:ascii="Times New Roman" w:hAnsi="Times New Roman"/>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 w15:restartNumberingAfterBreak="0">
    <w:nsid w:val="23C505DA"/>
    <w:multiLevelType w:val="multilevel"/>
    <w:tmpl w:val="66CE7698"/>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78266C9"/>
    <w:multiLevelType w:val="multilevel"/>
    <w:tmpl w:val="12A25724"/>
    <w:lvl w:ilvl="0">
      <w:start w:val="1"/>
      <w:numFmt w:val="bullet"/>
      <w:lvlText w:val="–"/>
      <w:lvlJc w:val="left"/>
      <w:pPr>
        <w:ind w:left="1287" w:hanging="360"/>
      </w:pPr>
      <w:rPr>
        <w:rFonts w:ascii="Tahoma" w:hAnsi="Tahoma"/>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3" w15:restartNumberingAfterBreak="0">
    <w:nsid w:val="38111F2F"/>
    <w:multiLevelType w:val="multilevel"/>
    <w:tmpl w:val="1DEE9CC8"/>
    <w:lvl w:ilvl="0">
      <w:start w:val="1"/>
      <w:numFmt w:val="bullet"/>
      <w:lvlText w:val="–"/>
      <w:lvlJc w:val="left"/>
      <w:pPr>
        <w:ind w:left="3621" w:hanging="360"/>
      </w:pPr>
      <w:rPr>
        <w:rFonts w:ascii="Tahoma" w:hAnsi="Tahoma"/>
      </w:rPr>
    </w:lvl>
    <w:lvl w:ilvl="1">
      <w:start w:val="1"/>
      <w:numFmt w:val="bullet"/>
      <w:lvlText w:val="o"/>
      <w:lvlJc w:val="left"/>
      <w:pPr>
        <w:ind w:left="1724" w:hanging="360"/>
      </w:pPr>
      <w:rPr>
        <w:rFonts w:ascii="Courier New" w:hAnsi="Courier New"/>
      </w:rPr>
    </w:lvl>
    <w:lvl w:ilvl="2">
      <w:start w:val="1"/>
      <w:numFmt w:val="bullet"/>
      <w:lvlText w:val=""/>
      <w:lvlJc w:val="left"/>
      <w:pPr>
        <w:ind w:left="2444" w:hanging="360"/>
      </w:pPr>
      <w:rPr>
        <w:rFonts w:ascii="Wingdings" w:hAnsi="Wingdings"/>
      </w:rPr>
    </w:lvl>
    <w:lvl w:ilvl="3">
      <w:start w:val="1"/>
      <w:numFmt w:val="bullet"/>
      <w:lvlText w:val=""/>
      <w:lvlJc w:val="left"/>
      <w:pPr>
        <w:ind w:left="3164" w:hanging="360"/>
      </w:pPr>
      <w:rPr>
        <w:rFonts w:ascii="Symbol" w:hAnsi="Symbol"/>
      </w:rPr>
    </w:lvl>
    <w:lvl w:ilvl="4">
      <w:start w:val="1"/>
      <w:numFmt w:val="bullet"/>
      <w:lvlText w:val="o"/>
      <w:lvlJc w:val="left"/>
      <w:pPr>
        <w:ind w:left="3884" w:hanging="360"/>
      </w:pPr>
      <w:rPr>
        <w:rFonts w:ascii="Courier New" w:hAnsi="Courier New"/>
      </w:rPr>
    </w:lvl>
    <w:lvl w:ilvl="5">
      <w:start w:val="1"/>
      <w:numFmt w:val="bullet"/>
      <w:lvlText w:val=""/>
      <w:lvlJc w:val="left"/>
      <w:pPr>
        <w:ind w:left="4604" w:hanging="360"/>
      </w:pPr>
      <w:rPr>
        <w:rFonts w:ascii="Wingdings" w:hAnsi="Wingdings"/>
      </w:rPr>
    </w:lvl>
    <w:lvl w:ilvl="6">
      <w:start w:val="1"/>
      <w:numFmt w:val="bullet"/>
      <w:lvlText w:val=""/>
      <w:lvlJc w:val="left"/>
      <w:pPr>
        <w:ind w:left="5324" w:hanging="360"/>
      </w:pPr>
      <w:rPr>
        <w:rFonts w:ascii="Symbol" w:hAnsi="Symbol"/>
      </w:rPr>
    </w:lvl>
    <w:lvl w:ilvl="7">
      <w:start w:val="1"/>
      <w:numFmt w:val="bullet"/>
      <w:lvlText w:val="o"/>
      <w:lvlJc w:val="left"/>
      <w:pPr>
        <w:ind w:left="6044" w:hanging="360"/>
      </w:pPr>
      <w:rPr>
        <w:rFonts w:ascii="Courier New" w:hAnsi="Courier New"/>
      </w:rPr>
    </w:lvl>
    <w:lvl w:ilvl="8">
      <w:start w:val="1"/>
      <w:numFmt w:val="bullet"/>
      <w:lvlText w:val=""/>
      <w:lvlJc w:val="left"/>
      <w:pPr>
        <w:ind w:left="6764" w:hanging="360"/>
      </w:pPr>
      <w:rPr>
        <w:rFonts w:ascii="Wingdings" w:hAnsi="Wingdings"/>
      </w:rPr>
    </w:lvl>
  </w:abstractNum>
  <w:abstractNum w:abstractNumId="4" w15:restartNumberingAfterBreak="0">
    <w:nsid w:val="51EC1BAA"/>
    <w:multiLevelType w:val="multilevel"/>
    <w:tmpl w:val="EE3C10C0"/>
    <w:lvl w:ilvl="0">
      <w:start w:val="1"/>
      <w:numFmt w:val="bullet"/>
      <w:lvlText w:val="–"/>
      <w:lvlJc w:val="left"/>
      <w:pPr>
        <w:ind w:left="1287" w:hanging="360"/>
      </w:pPr>
      <w:rPr>
        <w:rFonts w:ascii="Tahoma" w:hAnsi="Tahoma"/>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5" w15:restartNumberingAfterBreak="0">
    <w:nsid w:val="75B90B5A"/>
    <w:multiLevelType w:val="multilevel"/>
    <w:tmpl w:val="6E18176C"/>
    <w:lvl w:ilvl="0">
      <w:start w:val="1"/>
      <w:numFmt w:val="bullet"/>
      <w:lvlText w:val="–"/>
      <w:lvlJc w:val="left"/>
      <w:pPr>
        <w:ind w:left="720" w:hanging="360"/>
      </w:pPr>
      <w:rPr>
        <w:rFonts w:ascii="Tahoma" w:hAnsi="Tahoma"/>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C245471"/>
    <w:multiLevelType w:val="multilevel"/>
    <w:tmpl w:val="726E7614"/>
    <w:lvl w:ilvl="0">
      <w:start w:val="1"/>
      <w:numFmt w:val="bullet"/>
      <w:lvlText w:val="–"/>
      <w:lvlJc w:val="left"/>
      <w:pPr>
        <w:ind w:left="720" w:hanging="360"/>
      </w:pPr>
      <w:rPr>
        <w:rFonts w:ascii="Tahoma" w:hAnsi="Tahoma"/>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5"/>
  </w:num>
  <w:num w:numId="2">
    <w:abstractNumId w:val="0"/>
  </w:num>
  <w:num w:numId="3">
    <w:abstractNumId w:val="1"/>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DD8"/>
    <w:rsid w:val="00480DD8"/>
    <w:rsid w:val="00631D97"/>
    <w:rsid w:val="00BF53E1"/>
    <w:rsid w:val="00E17B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BF9DF-F3E0-4615-8FBE-5E5FC4E8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spPr>
            <a:ln>
              <a:solidFill>
                <a:schemeClr val="tx1"/>
              </a:solidFill>
            </a:ln>
          </c:spPr>
          <c:dPt>
            <c:idx val="0"/>
            <c:bubble3D val="0"/>
            <c:spPr>
              <a:pattFill prst="pct25">
                <a:fgClr>
                  <a:schemeClr val="tx1"/>
                </a:fgClr>
                <a:bgClr>
                  <a:schemeClr val="bg1"/>
                </a:bgClr>
              </a:pattFill>
              <a:ln w="6350" cap="flat" cmpd="sng" algn="ctr">
                <a:solidFill>
                  <a:schemeClr val="tx1"/>
                </a:solidFill>
                <a:prstDash val="solid"/>
              </a:ln>
              <a:effectLst/>
            </c:spPr>
          </c:dPt>
          <c:dPt>
            <c:idx val="1"/>
            <c:bubble3D val="0"/>
            <c:spPr>
              <a:pattFill prst="solidDmnd">
                <a:fgClr>
                  <a:schemeClr val="tx1"/>
                </a:fgClr>
                <a:bgClr>
                  <a:schemeClr val="bg1"/>
                </a:bgClr>
              </a:pattFill>
              <a:ln w="9525" cap="flat" cmpd="sng" algn="ctr">
                <a:solidFill>
                  <a:schemeClr val="tx1"/>
                </a:solidFill>
                <a:prstDash val="solid"/>
              </a:ln>
              <a:effectLst>
                <a:outerShdw blurRad="40000" dist="20000" dir="5400000" rotWithShape="0">
                  <a:srgbClr val="000000">
                    <a:alpha val="38000"/>
                  </a:srgbClr>
                </a:outerShdw>
              </a:effectLst>
            </c:spPr>
          </c:dPt>
          <c:dPt>
            <c:idx val="2"/>
            <c:bubble3D val="0"/>
            <c:spPr>
              <a:pattFill prst="wdUpDiag">
                <a:fgClr>
                  <a:schemeClr val="tx1"/>
                </a:fgClr>
                <a:bgClr>
                  <a:schemeClr val="bg1"/>
                </a:bgClr>
              </a:pattFill>
              <a:ln>
                <a:solidFill>
                  <a:schemeClr val="tx1"/>
                </a:solidFill>
              </a:ln>
            </c:spPr>
          </c:dPt>
          <c:dPt>
            <c:idx val="3"/>
            <c:bubble3D val="0"/>
            <c:spPr>
              <a:pattFill prst="smGrid">
                <a:fgClr>
                  <a:schemeClr val="tx1"/>
                </a:fgClr>
                <a:bgClr>
                  <a:schemeClr val="bg1"/>
                </a:bgClr>
              </a:pattFill>
              <a:ln>
                <a:solidFill>
                  <a:schemeClr val="tx1"/>
                </a:solidFill>
              </a:ln>
            </c:spPr>
          </c:dPt>
          <c:dPt>
            <c:idx val="4"/>
            <c:bubble3D val="0"/>
            <c:spPr>
              <a:solidFill>
                <a:schemeClr val="tx1">
                  <a:lumMod val="50000"/>
                  <a:lumOff val="50000"/>
                </a:schemeClr>
              </a:solidFill>
              <a:ln>
                <a:solidFill>
                  <a:schemeClr val="tx1"/>
                </a:solidFill>
              </a:ln>
            </c:spPr>
          </c:dPt>
          <c:dPt>
            <c:idx val="5"/>
            <c:bubble3D val="0"/>
            <c:spPr>
              <a:pattFill prst="dashHorz">
                <a:fgClr>
                  <a:schemeClr val="tx1"/>
                </a:fgClr>
                <a:bgClr>
                  <a:schemeClr val="bg1"/>
                </a:bgClr>
              </a:pattFill>
              <a:ln>
                <a:solidFill>
                  <a:schemeClr val="tx1"/>
                </a:solidFill>
              </a:ln>
            </c:spPr>
          </c:dPt>
          <c:dPt>
            <c:idx val="6"/>
            <c:bubble3D val="0"/>
            <c:spPr>
              <a:pattFill prst="dkHorz">
                <a:fgClr>
                  <a:schemeClr val="tx1"/>
                </a:fgClr>
                <a:bgClr>
                  <a:schemeClr val="bg1"/>
                </a:bgClr>
              </a:pattFill>
              <a:ln>
                <a:solidFill>
                  <a:schemeClr val="tx1"/>
                </a:solidFill>
              </a:ln>
            </c:spPr>
          </c:dPt>
          <c:dLbls>
            <c:dLbl>
              <c:idx val="0"/>
              <c:layout>
                <c:manualLayout>
                  <c:x val="-8.5431395489652083E-3"/>
                  <c:y val="1.1713707706307549E-2"/>
                </c:manualLayout>
              </c:layout>
              <c:tx>
                <c:rich>
                  <a:bodyPr/>
                  <a:lstStyle/>
                  <a:p>
                    <a:pPr>
                      <a:defRPr lang="ru-RU" sz="800" b="0">
                        <a:latin typeface="Times New Roman" pitchFamily="18" charset="0"/>
                        <a:cs typeface="Times New Roman" pitchFamily="18" charset="0"/>
                      </a:defRPr>
                    </a:pPr>
                    <a:r>
                      <a:rPr lang="en-US" sz="800" b="0"/>
                      <a:t>31 %</a:t>
                    </a:r>
                    <a:endParaRPr lang="en-US" sz="800"/>
                  </a:p>
                </c:rich>
              </c:tx>
              <c:spPr/>
              <c:showLegendKey val="0"/>
              <c:showVal val="1"/>
              <c:showCatName val="0"/>
              <c:showSerName val="0"/>
              <c:showPercent val="0"/>
              <c:showBubbleSize val="0"/>
              <c:extLst>
                <c:ext xmlns:c15="http://schemas.microsoft.com/office/drawing/2012/chart" uri="{CE6537A1-D6FC-4f65-9D91-7224C49458BB}"/>
              </c:extLst>
            </c:dLbl>
            <c:dLbl>
              <c:idx val="1"/>
              <c:layout>
                <c:manualLayout>
                  <c:x val="-9.5170920101844414E-3"/>
                  <c:y val="-8.0373620919161615E-3"/>
                </c:manualLayout>
              </c:layout>
              <c:tx>
                <c:rich>
                  <a:bodyPr/>
                  <a:lstStyle/>
                  <a:p>
                    <a:pPr>
                      <a:defRPr lang="ru-RU" sz="800" b="0">
                        <a:latin typeface="Times New Roman" pitchFamily="18" charset="0"/>
                        <a:cs typeface="Times New Roman" pitchFamily="18" charset="0"/>
                      </a:defRPr>
                    </a:pPr>
                    <a:r>
                      <a:rPr lang="en-US" sz="800" b="0"/>
                      <a:t>17 %</a:t>
                    </a:r>
                    <a:endParaRPr lang="en-US" sz="800"/>
                  </a:p>
                </c:rich>
              </c:tx>
              <c:spPr/>
              <c:showLegendKey val="0"/>
              <c:showVal val="1"/>
              <c:showCatName val="0"/>
              <c:showSerName val="0"/>
              <c:showPercent val="0"/>
              <c:showBubbleSize val="0"/>
              <c:extLst>
                <c:ext xmlns:c15="http://schemas.microsoft.com/office/drawing/2012/chart" uri="{CE6537A1-D6FC-4f65-9D91-7224C49458BB}"/>
              </c:extLst>
            </c:dLbl>
            <c:dLbl>
              <c:idx val="2"/>
              <c:layout>
                <c:manualLayout>
                  <c:x val="1.1273960717306124E-2"/>
                  <c:y val="-6.2465687491069545E-3"/>
                </c:manualLayout>
              </c:layout>
              <c:tx>
                <c:rich>
                  <a:bodyPr/>
                  <a:lstStyle/>
                  <a:p>
                    <a:pPr>
                      <a:defRPr lang="ru-RU" sz="800" b="0">
                        <a:latin typeface="Times New Roman" pitchFamily="18" charset="0"/>
                        <a:cs typeface="Times New Roman" pitchFamily="18" charset="0"/>
                      </a:defRPr>
                    </a:pPr>
                    <a:r>
                      <a:rPr lang="en-US" sz="800" b="0"/>
                      <a:t>17 %</a:t>
                    </a:r>
                    <a:endParaRPr lang="en-US" sz="800"/>
                  </a:p>
                </c:rich>
              </c:tx>
              <c:spPr/>
              <c:showLegendKey val="0"/>
              <c:showVal val="1"/>
              <c:showCatName val="0"/>
              <c:showSerName val="0"/>
              <c:showPercent val="0"/>
              <c:showBubbleSize val="0"/>
              <c:extLst>
                <c:ext xmlns:c15="http://schemas.microsoft.com/office/drawing/2012/chart" uri="{CE6537A1-D6FC-4f65-9D91-7224C49458BB}"/>
              </c:extLst>
            </c:dLbl>
            <c:dLbl>
              <c:idx val="3"/>
              <c:layout>
                <c:manualLayout>
                  <c:x val="2.7897222067099991E-3"/>
                  <c:y val="-9.2994713688957318E-3"/>
                </c:manualLayout>
              </c:layout>
              <c:tx>
                <c:rich>
                  <a:bodyPr/>
                  <a:lstStyle/>
                  <a:p>
                    <a:pPr>
                      <a:defRPr lang="ru-RU" sz="800" b="0">
                        <a:latin typeface="Times New Roman" pitchFamily="18" charset="0"/>
                        <a:cs typeface="Times New Roman" pitchFamily="18" charset="0"/>
                      </a:defRPr>
                    </a:pPr>
                    <a:r>
                      <a:rPr lang="en-US" sz="800" b="0"/>
                      <a:t>16 %</a:t>
                    </a:r>
                    <a:endParaRPr lang="en-US" sz="800"/>
                  </a:p>
                </c:rich>
              </c:tx>
              <c:spPr/>
              <c:showLegendKey val="0"/>
              <c:showVal val="1"/>
              <c:showCatName val="0"/>
              <c:showSerName val="0"/>
              <c:showPercent val="0"/>
              <c:showBubbleSize val="0"/>
              <c:extLst>
                <c:ext xmlns:c15="http://schemas.microsoft.com/office/drawing/2012/chart" uri="{CE6537A1-D6FC-4f65-9D91-7224C49458BB}"/>
              </c:extLst>
            </c:dLbl>
            <c:dLbl>
              <c:idx val="4"/>
              <c:layout>
                <c:manualLayout>
                  <c:x val="-1.6256833144084001E-3"/>
                  <c:y val="3.2610008256010407E-3"/>
                </c:manualLayout>
              </c:layout>
              <c:tx>
                <c:rich>
                  <a:bodyPr/>
                  <a:lstStyle/>
                  <a:p>
                    <a:pPr>
                      <a:defRPr lang="ru-RU" sz="800" b="0">
                        <a:latin typeface="Times New Roman" pitchFamily="18" charset="0"/>
                        <a:cs typeface="Times New Roman" pitchFamily="18" charset="0"/>
                      </a:defRPr>
                    </a:pPr>
                    <a:r>
                      <a:rPr lang="en-US" sz="800" b="0"/>
                      <a:t>11 %</a:t>
                    </a:r>
                    <a:endParaRPr lang="en-US" sz="800"/>
                  </a:p>
                </c:rich>
              </c:tx>
              <c:spPr/>
              <c:showLegendKey val="0"/>
              <c:showVal val="1"/>
              <c:showCatName val="0"/>
              <c:showSerName val="0"/>
              <c:showPercent val="0"/>
              <c:showBubbleSize val="0"/>
              <c:extLst>
                <c:ext xmlns:c15="http://schemas.microsoft.com/office/drawing/2012/chart" uri="{CE6537A1-D6FC-4f65-9D91-7224C49458BB}"/>
              </c:extLst>
            </c:dLbl>
            <c:dLbl>
              <c:idx val="5"/>
              <c:layout>
                <c:manualLayout>
                  <c:x val="2.1716664720312197E-3"/>
                  <c:y val="1.6390888101738076E-2"/>
                </c:manualLayout>
              </c:layout>
              <c:tx>
                <c:rich>
                  <a:bodyPr/>
                  <a:lstStyle/>
                  <a:p>
                    <a:pPr>
                      <a:defRPr lang="ru-RU" sz="800" b="0">
                        <a:latin typeface="Times New Roman" pitchFamily="18" charset="0"/>
                        <a:cs typeface="Times New Roman" pitchFamily="18" charset="0"/>
                      </a:defRPr>
                    </a:pPr>
                    <a:r>
                      <a:rPr lang="en-US" sz="800" b="0"/>
                      <a:t>6 %</a:t>
                    </a:r>
                    <a:endParaRPr lang="en-US" sz="800"/>
                  </a:p>
                </c:rich>
              </c:tx>
              <c:spPr/>
              <c:showLegendKey val="0"/>
              <c:showVal val="1"/>
              <c:showCatName val="0"/>
              <c:showSerName val="0"/>
              <c:showPercent val="0"/>
              <c:showBubbleSize val="0"/>
              <c:extLst>
                <c:ext xmlns:c15="http://schemas.microsoft.com/office/drawing/2012/chart" uri="{CE6537A1-D6FC-4f65-9D91-7224C49458BB}"/>
              </c:extLst>
            </c:dLbl>
            <c:dLbl>
              <c:idx val="6"/>
              <c:layout>
                <c:manualLayout>
                  <c:x val="1.0344557994080582E-2"/>
                  <c:y val="-1.8537823617118415E-3"/>
                </c:manualLayout>
              </c:layout>
              <c:tx>
                <c:rich>
                  <a:bodyPr/>
                  <a:lstStyle/>
                  <a:p>
                    <a:pPr>
                      <a:defRPr lang="ru-RU" sz="800" b="0">
                        <a:latin typeface="Times New Roman" pitchFamily="18" charset="0"/>
                        <a:cs typeface="Times New Roman" pitchFamily="18" charset="0"/>
                      </a:defRPr>
                    </a:pPr>
                    <a:r>
                      <a:rPr lang="en-US" sz="800" b="0"/>
                      <a:t>2 %</a:t>
                    </a:r>
                    <a:endParaRPr lang="en-US" sz="800"/>
                  </a:p>
                </c:rich>
              </c:tx>
              <c:sp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ru-RU" b="0">
                    <a:latin typeface="Times New Roman" pitchFamily="18" charset="0"/>
                    <a:cs typeface="Times New Roman" pitchFamily="18" charset="0"/>
                  </a:defRPr>
                </a:pPr>
                <a:endParaRPr lang="uk-UA"/>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Лист1!$A$1:$A$7</c:f>
              <c:strCache>
                <c:ptCount val="7"/>
                <c:pt idx="0">
                  <c:v>консалтингові послуги з питань управління операціями і процесами</c:v>
                </c:pt>
                <c:pt idx="1">
                  <c:v>консультування з питань інформаційно-технологічної стратегії</c:v>
                </c:pt>
                <c:pt idx="2">
                  <c:v>консультування з питань корпоративної стратегії</c:v>
                </c:pt>
                <c:pt idx="3">
                  <c:v>консультування з питань розвитку бізнесу</c:v>
                </c:pt>
                <c:pt idx="4">
                  <c:v>консультування з питань організаційного проектування</c:v>
                </c:pt>
                <c:pt idx="5">
                  <c:v>фінансове консультування</c:v>
                </c:pt>
                <c:pt idx="6">
                  <c:v>послуги з питань маркетингу і продажів</c:v>
                </c:pt>
              </c:strCache>
            </c:strRef>
          </c:cat>
          <c:val>
            <c:numRef>
              <c:f>Лист1!$B$1:$B$7</c:f>
              <c:numCache>
                <c:formatCode>General</c:formatCode>
                <c:ptCount val="7"/>
                <c:pt idx="0">
                  <c:v>31</c:v>
                </c:pt>
                <c:pt idx="1">
                  <c:v>17</c:v>
                </c:pt>
                <c:pt idx="2">
                  <c:v>17</c:v>
                </c:pt>
                <c:pt idx="3">
                  <c:v>16</c:v>
                </c:pt>
                <c:pt idx="4">
                  <c:v>11</c:v>
                </c:pt>
                <c:pt idx="5">
                  <c:v>6</c:v>
                </c:pt>
                <c:pt idx="6">
                  <c:v>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3812351470250619"/>
          <c:y val="3.4864540237555044E-2"/>
          <c:w val="0.44527143326942342"/>
          <c:h val="0.96513548482495959"/>
        </c:manualLayout>
      </c:layout>
      <c:overlay val="0"/>
      <c:txPr>
        <a:bodyPr/>
        <a:lstStyle/>
        <a:p>
          <a:pPr>
            <a:defRPr lang="ru-RU" sz="800">
              <a:latin typeface="Times New Roman" pitchFamily="18" charset="0"/>
              <a:cs typeface="Times New Roman" pitchFamily="18" charset="0"/>
            </a:defRPr>
          </a:pPr>
          <a:endParaRPr lang="uk-UA"/>
        </a:p>
      </c:txPr>
    </c:legend>
    <c:plotVisOnly val="1"/>
    <c:dispBlanksAs val="zero"/>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75"/>
      <c:rotY val="70"/>
      <c:rAngAx val="0"/>
    </c:view3D>
    <c:floor>
      <c:thickness val="0"/>
    </c:floor>
    <c:sideWall>
      <c:thickness val="0"/>
    </c:sideWall>
    <c:backWall>
      <c:thickness val="0"/>
    </c:backWall>
    <c:plotArea>
      <c:layout>
        <c:manualLayout>
          <c:layoutTarget val="inner"/>
          <c:xMode val="edge"/>
          <c:yMode val="edge"/>
          <c:x val="0.10091000693878782"/>
          <c:y val="0.13772250059651633"/>
          <c:w val="0.7127394937701792"/>
          <c:h val="0.67718841962936738"/>
        </c:manualLayout>
      </c:layout>
      <c:pie3DChart>
        <c:varyColors val="1"/>
        <c:ser>
          <c:idx val="0"/>
          <c:order val="0"/>
          <c:spPr>
            <a:solidFill>
              <a:schemeClr val="lt1"/>
            </a:solidFill>
            <a:ln w="25400" cap="flat" cmpd="sng" algn="ctr">
              <a:solidFill>
                <a:schemeClr val="dk1"/>
              </a:solidFill>
              <a:prstDash val="solid"/>
            </a:ln>
            <a:effectLst/>
          </c:spPr>
          <c:dPt>
            <c:idx val="0"/>
            <c:bubble3D val="0"/>
            <c:spPr>
              <a:pattFill prst="pct10">
                <a:fgClr>
                  <a:schemeClr val="tx1"/>
                </a:fgClr>
                <a:bgClr>
                  <a:schemeClr val="bg1"/>
                </a:bgClr>
              </a:pattFill>
              <a:ln w="25400" cap="flat" cmpd="sng" algn="ctr">
                <a:solidFill>
                  <a:schemeClr val="dk1"/>
                </a:solidFill>
                <a:prstDash val="solid"/>
              </a:ln>
              <a:effectLst/>
            </c:spPr>
          </c:dPt>
          <c:dPt>
            <c:idx val="1"/>
            <c:bubble3D val="0"/>
            <c:spPr>
              <a:pattFill prst="pct25">
                <a:fgClr>
                  <a:schemeClr val="tx1"/>
                </a:fgClr>
                <a:bgClr>
                  <a:schemeClr val="bg1"/>
                </a:bgClr>
              </a:pattFill>
              <a:ln w="25400" cap="flat" cmpd="sng" algn="ctr">
                <a:solidFill>
                  <a:schemeClr val="dk1"/>
                </a:solidFill>
                <a:prstDash val="solid"/>
              </a:ln>
              <a:effectLst/>
            </c:spPr>
          </c:dPt>
          <c:dPt>
            <c:idx val="2"/>
            <c:bubble3D val="0"/>
            <c:spPr>
              <a:pattFill prst="lgConfetti">
                <a:fgClr>
                  <a:schemeClr val="tx1"/>
                </a:fgClr>
                <a:bgClr>
                  <a:schemeClr val="bg1"/>
                </a:bgClr>
              </a:pattFill>
              <a:ln w="25400" cap="flat" cmpd="sng" algn="ctr">
                <a:solidFill>
                  <a:schemeClr val="dk1"/>
                </a:solidFill>
                <a:prstDash val="solid"/>
              </a:ln>
              <a:effectLst/>
            </c:spPr>
          </c:dPt>
          <c:dPt>
            <c:idx val="3"/>
            <c:bubble3D val="0"/>
            <c:spPr>
              <a:pattFill prst="ltUpDiag">
                <a:fgClr>
                  <a:schemeClr val="tx1"/>
                </a:fgClr>
                <a:bgClr>
                  <a:schemeClr val="bg1"/>
                </a:bgClr>
              </a:pattFill>
              <a:ln w="25400" cap="flat" cmpd="sng" algn="ctr">
                <a:solidFill>
                  <a:schemeClr val="dk1"/>
                </a:solidFill>
                <a:prstDash val="solid"/>
              </a:ln>
              <a:effectLst/>
            </c:spPr>
          </c:dPt>
          <c:dLbls>
            <c:dLbl>
              <c:idx val="0"/>
              <c:layout>
                <c:manualLayout>
                  <c:x val="-1.077914556455091E-2"/>
                  <c:y val="-6.4574428196475436E-2"/>
                </c:manualLayout>
              </c:layout>
              <c:tx>
                <c:rich>
                  <a:bodyPr/>
                  <a:lstStyle/>
                  <a:p>
                    <a:r>
                      <a:rPr lang="uk-UA"/>
                      <a:t>Європа, Близький Схід, Африка; 39%</a:t>
                    </a:r>
                  </a:p>
                </c:rich>
              </c:tx>
              <c:showLegendKey val="0"/>
              <c:showVal val="1"/>
              <c:showCatName val="1"/>
              <c:showSerName val="0"/>
              <c:showPercent val="0"/>
              <c:showBubbleSize val="0"/>
              <c:extLst>
                <c:ext xmlns:c15="http://schemas.microsoft.com/office/drawing/2012/chart" uri="{CE6537A1-D6FC-4f65-9D91-7224C49458BB}"/>
              </c:extLst>
            </c:dLbl>
            <c:dLbl>
              <c:idx val="1"/>
              <c:layout>
                <c:manualLayout>
                  <c:x val="-7.93197725284343E-3"/>
                  <c:y val="2.7529163021289011E-2"/>
                </c:manualLayout>
              </c:layout>
              <c:tx>
                <c:rich>
                  <a:bodyPr/>
                  <a:lstStyle/>
                  <a:p>
                    <a:r>
                      <a:rPr lang="uk-UA"/>
                      <a:t>Північна Америка; 47%</a:t>
                    </a:r>
                  </a:p>
                </c:rich>
              </c:tx>
              <c:showLegendKey val="0"/>
              <c:showVal val="1"/>
              <c:showCatName val="1"/>
              <c:showSerName val="0"/>
              <c:showPercent val="0"/>
              <c:showBubbleSize val="0"/>
              <c:extLst>
                <c:ext xmlns:c15="http://schemas.microsoft.com/office/drawing/2012/chart" uri="{CE6537A1-D6FC-4f65-9D91-7224C49458BB}"/>
              </c:extLst>
            </c:dLbl>
            <c:dLbl>
              <c:idx val="2"/>
              <c:layout>
                <c:manualLayout>
                  <c:x val="-3.7264957264957294E-2"/>
                  <c:y val="1.6864824167895465E-3"/>
                </c:manualLayout>
              </c:layout>
              <c:tx>
                <c:rich>
                  <a:bodyPr/>
                  <a:lstStyle/>
                  <a:p>
                    <a:pPr>
                      <a:defRPr lang="ru-RU" sz="800"/>
                    </a:pPr>
                    <a:r>
                      <a:rPr lang="uk-UA" sz="800"/>
                      <a:t>Азійсько-Тихоокеанський регіон; 11%     </a:t>
                    </a:r>
                  </a:p>
                </c:rich>
              </c:tx>
              <c:spPr/>
              <c:showLegendKey val="0"/>
              <c:showVal val="1"/>
              <c:showCatName val="1"/>
              <c:showSerName val="0"/>
              <c:showPercent val="0"/>
              <c:showBubbleSize val="0"/>
              <c:extLst>
                <c:ext xmlns:c15="http://schemas.microsoft.com/office/drawing/2012/chart" uri="{CE6537A1-D6FC-4f65-9D91-7224C49458BB}"/>
              </c:extLst>
            </c:dLbl>
            <c:dLbl>
              <c:idx val="3"/>
              <c:layout>
                <c:manualLayout>
                  <c:x val="-4.0168416447944133E-3"/>
                  <c:y val="3.408084627719422E-3"/>
                </c:manualLayout>
              </c:layout>
              <c:tx>
                <c:rich>
                  <a:bodyPr/>
                  <a:lstStyle/>
                  <a:p>
                    <a:r>
                      <a:rPr lang="uk-UA"/>
                      <a:t>Латинська Америка; 3%</a:t>
                    </a:r>
                  </a:p>
                </c:rich>
              </c:tx>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a:lstStyle/>
              <a:p>
                <a:pPr>
                  <a:defRPr lang="ru-RU"/>
                </a:pPr>
                <a:endParaRPr lang="uk-UA"/>
              </a:p>
            </c:txPr>
            <c:showLegendKey val="0"/>
            <c:showVal val="1"/>
            <c:showCatName val="1"/>
            <c:showSerName val="0"/>
            <c:showPercent val="0"/>
            <c:showBubbleSize val="0"/>
            <c:showLeaderLines val="0"/>
            <c:extLst>
              <c:ext xmlns:c15="http://schemas.microsoft.com/office/drawing/2012/chart" uri="{CE6537A1-D6FC-4f65-9D91-7224C49458BB}"/>
            </c:extLst>
          </c:dLbls>
          <c:cat>
            <c:strRef>
              <c:f>Лист1!$B$46:$B$49</c:f>
              <c:strCache>
                <c:ptCount val="4"/>
                <c:pt idx="0">
                  <c:v>Європа, Близький Схід, Африка </c:v>
                </c:pt>
                <c:pt idx="1">
                  <c:v>Північна Америка </c:v>
                </c:pt>
                <c:pt idx="2">
                  <c:v>Азійсько-Тихоокеанський регіон </c:v>
                </c:pt>
                <c:pt idx="3">
                  <c:v>Латинська Америка </c:v>
                </c:pt>
              </c:strCache>
            </c:strRef>
          </c:cat>
          <c:val>
            <c:numRef>
              <c:f>Лист1!$C$46:$C$49</c:f>
              <c:numCache>
                <c:formatCode>0%</c:formatCode>
                <c:ptCount val="4"/>
                <c:pt idx="0">
                  <c:v>0.39000000000000123</c:v>
                </c:pt>
                <c:pt idx="1">
                  <c:v>0.47000000000000008</c:v>
                </c:pt>
                <c:pt idx="2">
                  <c:v>0.11</c:v>
                </c:pt>
                <c:pt idx="3">
                  <c:v>3.0000000000000002E-2</c:v>
                </c:pt>
              </c:numCache>
            </c:numRef>
          </c:val>
        </c:ser>
        <c:dLbls>
          <c:showLegendKey val="0"/>
          <c:showVal val="0"/>
          <c:showCatName val="0"/>
          <c:showSerName val="0"/>
          <c:showPercent val="0"/>
          <c:showBubbleSize val="0"/>
          <c:showLeaderLines val="0"/>
        </c:dLbls>
      </c:pie3DChart>
    </c:plotArea>
    <c:plotVisOnly val="1"/>
    <c:dispBlanksAs val="zero"/>
    <c:showDLblsOverMax val="0"/>
  </c:chart>
  <c:spPr>
    <a:ln>
      <a:noFill/>
    </a:ln>
  </c:spPr>
  <c:txPr>
    <a:bodyPr/>
    <a:lstStyle/>
    <a:p>
      <a:pPr>
        <a:defRPr sz="900">
          <a:latin typeface="Times New Roman" pitchFamily="18" charset="0"/>
          <a:cs typeface="Times New Roman" pitchFamily="18" charset="0"/>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10</Pages>
  <Words>17087</Words>
  <Characters>9740</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2022-09-26T07:38:00Z</dcterms:created>
  <dcterms:modified xsi:type="dcterms:W3CDTF">2022-09-26T07:38:00Z</dcterms:modified>
</cp:coreProperties>
</file>