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00" w:rsidRPr="00C575B9" w:rsidRDefault="00AD5B00" w:rsidP="00AD5B00">
      <w:pPr>
        <w:pStyle w:val="1"/>
      </w:pPr>
      <w:bookmarkStart w:id="0" w:name="_Toc63009099"/>
      <w:bookmarkStart w:id="1" w:name="_Toc63331985"/>
      <w:r w:rsidRPr="00C575B9">
        <w:t xml:space="preserve">5. </w:t>
      </w:r>
      <w:bookmarkEnd w:id="0"/>
      <w:bookmarkEnd w:id="1"/>
      <w:r w:rsidRPr="00C575B9">
        <w:t>Культура Інтернету</w:t>
      </w:r>
    </w:p>
    <w:p w:rsidR="00AD5B00" w:rsidRPr="00C575B9" w:rsidRDefault="00AD5B00" w:rsidP="00AD5B00">
      <w:pPr>
        <w:spacing w:after="0"/>
        <w:jc w:val="center"/>
        <w:rPr>
          <w:rFonts w:ascii="Arial" w:eastAsia="Arial" w:hAnsi="Arial" w:cs="Arial"/>
          <w:b/>
          <w:sz w:val="36"/>
          <w:szCs w:val="36"/>
        </w:rPr>
      </w:pPr>
    </w:p>
    <w:p w:rsidR="00AD5B00" w:rsidRPr="00C575B9" w:rsidRDefault="00AD5B00" w:rsidP="00AD5B00">
      <w:pPr>
        <w:spacing w:after="0" w:line="288" w:lineRule="auto"/>
        <w:ind w:firstLine="709"/>
        <w:jc w:val="both"/>
        <w:rPr>
          <w:rFonts w:ascii="Arial" w:eastAsia="Arial" w:hAnsi="Arial" w:cs="Arial"/>
          <w:sz w:val="28"/>
          <w:szCs w:val="28"/>
        </w:rPr>
      </w:pPr>
      <w:r w:rsidRPr="00C575B9">
        <w:rPr>
          <w:rFonts w:ascii="Arial" w:eastAsia="Arial" w:hAnsi="Arial" w:cs="Arial"/>
          <w:b/>
          <w:sz w:val="28"/>
          <w:szCs w:val="28"/>
        </w:rPr>
        <w:t>Метою вивчення теми</w:t>
      </w:r>
      <w:r w:rsidRPr="00C575B9">
        <w:rPr>
          <w:rFonts w:ascii="Arial" w:eastAsia="Arial" w:hAnsi="Arial" w:cs="Arial"/>
          <w:sz w:val="28"/>
          <w:szCs w:val="28"/>
        </w:rPr>
        <w:t xml:space="preserve"> є знайомство з особливостями культури Інтернет як провідного середовища взаємодії людей в умовах постіндустріального суспільства.</w:t>
      </w:r>
    </w:p>
    <w:p w:rsidR="00AD5B00" w:rsidRPr="00C575B9" w:rsidRDefault="00AD5B00" w:rsidP="00AD5B00">
      <w:pPr>
        <w:spacing w:line="312" w:lineRule="auto"/>
        <w:ind w:firstLine="709"/>
        <w:jc w:val="both"/>
        <w:rPr>
          <w:b/>
          <w:sz w:val="24"/>
        </w:rPr>
      </w:pPr>
    </w:p>
    <w:p w:rsidR="00AD5B00" w:rsidRPr="00C575B9" w:rsidRDefault="00AD5B00" w:rsidP="00AD5B00">
      <w:pPr>
        <w:pStyle w:val="2"/>
        <w:jc w:val="both"/>
      </w:pPr>
      <w:bookmarkStart w:id="2" w:name="_Toc63009100"/>
      <w:bookmarkStart w:id="3" w:name="_Toc63331986"/>
      <w:r w:rsidRPr="00C575B9">
        <w:t xml:space="preserve">5.1. </w:t>
      </w:r>
      <w:bookmarkEnd w:id="2"/>
      <w:bookmarkEnd w:id="3"/>
      <w:r w:rsidRPr="00C575B9">
        <w:t>Загальні особливості культури Інтернету. Переваги та недоліки використання Інтернет в сучасному культурному середовищі</w:t>
      </w:r>
    </w:p>
    <w:p w:rsidR="00AD5B00" w:rsidRPr="00C575B9" w:rsidRDefault="00AD5B00" w:rsidP="00AD5B00">
      <w:pPr>
        <w:tabs>
          <w:tab w:val="left" w:pos="993"/>
        </w:tabs>
        <w:spacing w:after="0" w:line="288" w:lineRule="auto"/>
        <w:ind w:firstLine="709"/>
        <w:jc w:val="both"/>
        <w:rPr>
          <w:rFonts w:ascii="Arial" w:eastAsia="Arial" w:hAnsi="Arial" w:cs="Arial"/>
          <w:sz w:val="28"/>
          <w:szCs w:val="28"/>
        </w:rPr>
      </w:pPr>
      <w:r w:rsidRPr="00C575B9">
        <w:rPr>
          <w:noProof/>
          <w:position w:val="-10"/>
          <w:lang w:val="ru-RU" w:eastAsia="ru-RU"/>
        </w:rPr>
        <w:drawing>
          <wp:inline distT="0" distB="0" distL="0" distR="0" wp14:anchorId="2E85586B" wp14:editId="4C9DC8E0">
            <wp:extent cx="305759" cy="268383"/>
            <wp:effectExtent l="0" t="0" r="0" b="0"/>
            <wp:docPr id="44033"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Інтернет-культура (англ. Internet culture) – це культура подання інформації та культура спілкування користувачів в Інтернеті, яка може розглядатися як вид масової культури та кіберкультур.</w:t>
      </w:r>
    </w:p>
    <w:p w:rsidR="00AD5B00" w:rsidRPr="00C575B9" w:rsidRDefault="00AD5B00" w:rsidP="00AD5B00">
      <w:pPr>
        <w:spacing w:after="0" w:line="288" w:lineRule="auto"/>
        <w:ind w:firstLine="720"/>
        <w:jc w:val="both"/>
        <w:rPr>
          <w:rFonts w:ascii="Arial" w:eastAsia="Arial" w:hAnsi="Arial" w:cs="Arial"/>
          <w:sz w:val="28"/>
          <w:szCs w:val="28"/>
        </w:rPr>
      </w:pPr>
      <w:bookmarkStart w:id="4" w:name="_1fob9te" w:colFirst="0" w:colLast="0"/>
      <w:bookmarkEnd w:id="4"/>
      <w:r w:rsidRPr="00C575B9">
        <w:rPr>
          <w:rFonts w:ascii="Arial" w:eastAsia="Arial" w:hAnsi="Arial" w:cs="Arial"/>
          <w:sz w:val="28"/>
          <w:szCs w:val="28"/>
        </w:rPr>
        <w:t>Інтернет-культура є узагальнюючим поняттям для безлічі кіберкультур і субкультур, що входять до неї, таких як кіберспорт, вільне програмне забезпечення, рух Вікімедіа і т. д. На базі різних видів інтернет-культур формуються спеціалізовані інтернет-спільноти, які можуть мати дуже різний масштаб.</w:t>
      </w:r>
    </w:p>
    <w:p w:rsidR="00AD5B00" w:rsidRPr="00C575B9" w:rsidRDefault="00AD5B00" w:rsidP="00AD5B00">
      <w:pPr>
        <w:tabs>
          <w:tab w:val="left" w:pos="993"/>
        </w:tabs>
        <w:spacing w:after="0" w:line="288" w:lineRule="auto"/>
        <w:ind w:firstLine="709"/>
        <w:jc w:val="both"/>
        <w:rPr>
          <w:rFonts w:ascii="Arial" w:eastAsia="Arial" w:hAnsi="Arial" w:cs="Arial"/>
          <w:sz w:val="28"/>
          <w:szCs w:val="28"/>
        </w:rPr>
      </w:pPr>
      <w:bookmarkStart w:id="5" w:name="_3znysh7" w:colFirst="0" w:colLast="0"/>
      <w:bookmarkEnd w:id="5"/>
      <w:r w:rsidRPr="00C575B9">
        <w:rPr>
          <w:noProof/>
          <w:position w:val="-10"/>
          <w:lang w:val="ru-RU" w:eastAsia="ru-RU"/>
        </w:rPr>
        <w:drawing>
          <wp:inline distT="0" distB="0" distL="0" distR="0" wp14:anchorId="5C302891" wp14:editId="3E9131CB">
            <wp:extent cx="305759" cy="268383"/>
            <wp:effectExtent l="0" t="0" r="0" b="0"/>
            <wp:docPr id="44038"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Інтернет-культура породила такі явища як «блоги», «інтернет-література», культура соціальних мереж та багато інших. ін Атрибутом інтернет-культури є, серед іншого, використання в мові «смайликів» та акронімів англійських виразів, таких як IMHO (In My Humble/Honest Opinion — «на мою скромну думку») та RTFM (Read The Fucking Manual — «читайте акроніми символізують бажання носія культури скоротити обсяги набору на клавіатурі або економію знайомств у SMS. Ці та деякі інші традиції інтернет-культури сягають, серед іншого, ранніх кіберкультур користувачів комп'ютерних мереж, відмінних від Інтернету, наприклад, Фідонета та локальних мереж.</w:t>
      </w:r>
    </w:p>
    <w:p w:rsidR="00AD5B00" w:rsidRPr="00C575B9" w:rsidRDefault="00AD5B00" w:rsidP="00AD5B00">
      <w:pPr>
        <w:tabs>
          <w:tab w:val="left" w:pos="993"/>
        </w:tabs>
        <w:spacing w:after="0" w:line="288" w:lineRule="auto"/>
        <w:ind w:firstLine="709"/>
        <w:jc w:val="both"/>
        <w:rPr>
          <w:rFonts w:ascii="Arial" w:eastAsia="Arial" w:hAnsi="Arial" w:cs="Arial"/>
          <w:sz w:val="28"/>
          <w:szCs w:val="28"/>
        </w:rPr>
      </w:pPr>
      <w:r w:rsidRPr="00C575B9">
        <w:rPr>
          <w:rFonts w:ascii="Arial" w:eastAsia="Arial" w:hAnsi="Arial" w:cs="Arial"/>
          <w:sz w:val="28"/>
          <w:szCs w:val="28"/>
        </w:rPr>
        <w:t>Ранні види інтернет-культур асоціювалися з екзотичними соціальними прошарками, відомими як «гіки», «фрики» тощо, потім користування Інтернетом увійшло у повсякденне життя більшості, ставши фактором глобалізації. Інтернет-культура вивчається у кіберпсихології.</w:t>
      </w:r>
    </w:p>
    <w:p w:rsidR="00AD5B00" w:rsidRPr="00C575B9" w:rsidRDefault="00AD5B00" w:rsidP="00AD5B00">
      <w:pPr>
        <w:tabs>
          <w:tab w:val="left" w:pos="993"/>
        </w:tabs>
        <w:spacing w:after="0" w:line="288" w:lineRule="auto"/>
        <w:ind w:firstLine="709"/>
        <w:jc w:val="both"/>
        <w:rPr>
          <w:rFonts w:ascii="Arial" w:eastAsia="Arial" w:hAnsi="Arial" w:cs="Arial"/>
          <w:sz w:val="28"/>
          <w:szCs w:val="28"/>
        </w:rPr>
      </w:pPr>
      <w:r w:rsidRPr="00C575B9">
        <w:rPr>
          <w:rFonts w:ascii="Arial" w:eastAsia="Arial" w:hAnsi="Arial" w:cs="Arial"/>
          <w:sz w:val="28"/>
          <w:szCs w:val="28"/>
        </w:rPr>
        <w:t xml:space="preserve">Оскільки межі кіберкультури важко визначити, цей термін використовується гнучко і його застосування до конкретних обставин може бути спірним. Як правило, він відноситься щонайменше до </w:t>
      </w:r>
      <w:r w:rsidRPr="00C575B9">
        <w:rPr>
          <w:rFonts w:ascii="Arial" w:eastAsia="Arial" w:hAnsi="Arial" w:cs="Arial"/>
          <w:sz w:val="28"/>
          <w:szCs w:val="28"/>
        </w:rPr>
        <w:lastRenderedPageBreak/>
        <w:t>культур віртуальних спільнот, але й поширюється на широкий спектр культурних питань, пов'язаних з «кібер-topics», наприклад, кібернетика, і сприймається або прогнозована cyborgization в організмі людини та людського суспільства самого.</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633020E5" wp14:editId="486ADD76">
            <wp:extent cx="305759" cy="268383"/>
            <wp:effectExtent l="0" t="0" r="0" b="0"/>
            <wp:docPr id="44035"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Створення Інтернету позитивно вплинуло на наше суспільство, давши нам можливість спілкуватися з іншими людьми в Інтернеті, зберігати інформацію, таку як файли та зображення та допомагати підтримувати наш добробут. У міру розвитку Інтернету цифрові та аудіофайли можна було створювати та публікувати в Інтернеті, він став одним із основних джерел інформації, бізнесу та розваг, що призвело до створення різних платформ соціальних мереж, таких як Instagram, Twitter, Facebook та Snapchat.</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 наші дні спілкування з іншими людьми ніколи не було таким простим, що дозволяє людям спілкуватися та взаємодіяти один з одним. Інтернет допомагає нам підтримувати стосунки з іншими людьми, діючи як доповнення до фізичної взаємодії з нашими друзями та родиною. Люди також можуть створювати форуми та обговорювати один з одним різні теми, що може допомогти у формуванні та побудові відносин. Це дає людям можливість вільно висловлювати свої погляди. Соціальні групи, створені в Інтернеті, також пов'язані з покращенням та підтримкою нашого здоров'я загалом. Взаємодія з соціальними групами в Інтернеті може допомогти запобігти і, можливо, вилікувати депресію.</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 відповідь на поширеність психічних розладів, включаючи тривогу і депресію, дослідження 2019 року, проведене Крісто Ель Морром та іншими, показало, що студенти Йоркського університету в Торонто були надзвичайно зацікавлені в участі в онлайн-спільноті підтримки психічного здоров'я. У дослідженні згадується, що багато студентів віддають перевагу анонімній онлайн-спільноті психіатрів традиційним особистим послугам через соціальну стигматизацію психічних розладів. Загалом онлайн-спілкування з іншими людьми дає людям відчуття того, що вони потрібні і вітаються в соціальних групах.</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46BEE3C4" wp14:editId="24349F43">
            <wp:extent cx="305759" cy="268383"/>
            <wp:effectExtent l="0" t="0" r="0" b="0"/>
            <wp:docPr id="44037"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Оскільки доступ до Інтернету стає більш простим для людей, це призвело до значної кількості недоліків. Залежність стає величезною проблемою, тому що Інтернет стає все більш залежним від багатьох певних завдань, таких як спілкування, торгівля та освіта. Існує ряд різних симптомів, пов'язаних із залежністю, таких як </w:t>
      </w:r>
      <w:r w:rsidRPr="00C575B9">
        <w:rPr>
          <w:rFonts w:ascii="Arial" w:eastAsia="Arial" w:hAnsi="Arial" w:cs="Arial"/>
          <w:sz w:val="28"/>
          <w:szCs w:val="28"/>
        </w:rPr>
        <w:lastRenderedPageBreak/>
        <w:t xml:space="preserve">усунення, занепокоєння та перепади настрою. Пристрасть до соціальних мереж дуже поширена серед підлітків, але їхня взаємодія одна з одною може згубно позначитися на їхньому здоров'ї. Грубі коментарі до постів можуть знизити самооцінку людей, змусити їх почуватися недостойними та призвести до депресії. Соціальна взаємодія в мережі може замінити для деяких людей особисте спілкування замість того, щоб діяти як додаток. Це може негативно вплинути на соціальні навички людей та викликати у них почуття самотності. </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Люди можуть мати шанс стати жертвою кіберзнущань при використанні онлайн-додатків. Кіберзалякування може включати образи, відео-сором, видачу себе за іншу особу і багато іншого. Такий кібер-знущання особливо інтенсивно по відношенню до членів груп, які інтернет-культура загалом вважає «огидними». В даний час використовується концепція, яка називається теорією кібер-знущань, щоб описати, що діти, які частіше користуються соціальними мережами, з більшою ймовірністю стануть жертвами кібер-знущань. Крім того, деякі дані показують, що надмірне використання Інтернету може уповільнити розвиток пам'яті та уваги дітей. Легкість доступу до інформації, яку надає Інтернет, перешкоджає її збереженню. Однак когнітивні наслідки поки що повністю не вивчені. Величезний обсяг доступної інформації в Інтернеті може спричинити почуття інформаційного навантаження. Деякі ефекти цього явища включають зниження розуміння, прийняття рішень та контролю поведінки.</w:t>
      </w:r>
    </w:p>
    <w:p w:rsidR="00AD5B00" w:rsidRPr="00C575B9" w:rsidRDefault="00AD5B00" w:rsidP="00AD5B00">
      <w:pPr>
        <w:spacing w:after="0" w:line="288" w:lineRule="auto"/>
        <w:ind w:firstLine="720"/>
        <w:jc w:val="both"/>
        <w:rPr>
          <w:rFonts w:ascii="Arial" w:eastAsia="Arial" w:hAnsi="Arial" w:cs="Arial"/>
          <w:sz w:val="28"/>
          <w:szCs w:val="28"/>
        </w:rPr>
      </w:pPr>
    </w:p>
    <w:p w:rsidR="00AD5B00" w:rsidRPr="00C575B9" w:rsidRDefault="00AD5B00" w:rsidP="00AD5B00">
      <w:pPr>
        <w:spacing w:after="0" w:line="288" w:lineRule="auto"/>
        <w:ind w:firstLine="720"/>
        <w:jc w:val="both"/>
        <w:rPr>
          <w:rFonts w:ascii="Arial" w:hAnsi="Arial" w:cs="Arial"/>
          <w:b/>
          <w:sz w:val="28"/>
          <w:szCs w:val="28"/>
        </w:rPr>
      </w:pPr>
      <w:r w:rsidRPr="00C575B9">
        <w:rPr>
          <w:rFonts w:ascii="Arial" w:eastAsia="Arial" w:hAnsi="Arial" w:cs="Arial"/>
          <w:b/>
          <w:sz w:val="28"/>
          <w:szCs w:val="28"/>
        </w:rPr>
        <w:t xml:space="preserve">5.2. </w:t>
      </w:r>
      <w:r w:rsidRPr="00C575B9">
        <w:rPr>
          <w:rFonts w:ascii="Arial" w:hAnsi="Arial" w:cs="Arial"/>
          <w:b/>
          <w:sz w:val="28"/>
          <w:szCs w:val="28"/>
        </w:rPr>
        <w:t>Взаємозв’язок Інтернету, демократії та інформаційної політики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Широке застосування інтернет-комунікацій не могло не торкнутися сфери політики. Сьогодні Інтернет все частіше виступає майданчиком для політичних практик. Інтернет-комунікації та інформаційні технології впроваджуються у роботу органів державної влади, виступають інструментами для політичної мобілізації громадян, які сприяють виникненню нових форм участі громадян у прийнятті політико-управлінських рішень, що розширюють можливості проведення політичних кампаній. Однак потенціал інтернет-комунікацій, як і будь-якої іншої інновації у політиці, може бути використаний політичними акторами по-різному. Так, у політичній </w:t>
      </w:r>
      <w:r w:rsidRPr="00C575B9">
        <w:rPr>
          <w:rFonts w:ascii="Arial" w:eastAsia="Arial" w:hAnsi="Arial" w:cs="Arial"/>
          <w:sz w:val="28"/>
          <w:szCs w:val="28"/>
        </w:rPr>
        <w:lastRenderedPageBreak/>
        <w:t>практиці сучасних держав можна знайти багато прикладів того, як інтернет-комунікації перетворюються на канали маніпуляції масовою свідомістю громадян, що використовуються для порушення стабільності політичних режимів та з метою розпалювання міжнаціональної ворожнечі.</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Проте застосування інтернет-комунікацій дозволило створити основу для формування так званої електронної демократії.</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11CE84A4" wp14:editId="3AC33D01">
            <wp:extent cx="305759" cy="268383"/>
            <wp:effectExtent l="0" t="0" r="0" b="0"/>
            <wp:docPr id="44039"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Термін «електронна демократія» (далі – ЕД) має кілька різних трактувань. У найзагальнішому сенсі це – демократична політична система, в якій інформаційні системи та технології використовуються для виконання найважливіших функцій демократичного процесу: поширення інформації та комунікація, об'єднання інтересів громадян та прийняття рішень (шляхом наради та голосування). Електронна демократія заснована на принципі «one person - one node» (можливість підключення до мережі будь-якого користувача) та передбачає: пряме волевиявлення учасників (за аналогією з грецькою агорою); відсутність класів (рабів та рабовласників, феодалів, буржуазії); «електронне громадянство». Мова йде про участь громадян в управлінні державою, яке може здійснюватися двома шляхами: за допомогою особистої участі у прийнятті конкретних рішень (пряма демократія) чи виборами представників до органів законодавчої влади (представницька демократія).</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Насправді ці явища зустрічаються не в чистому вигляді, а у різних проміжних і змішаних формах. Функціонування механізмів ЕД безпосередньо з питаннями «електронної участі» (e-participation). У рамках електронної демократії волевиявлення громадян здійснюється за допомогою інформаційних систем і технологій (публічні обговорення у форматі інтернет-форумів, електронне голосування, електронні вибори).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Теорія електронної демократії розроблялася низкою відомих вчених. Її основоположником вважається японський вчений Є. Масуда, який сформулював ідею про формування демократії участі на основі інформаційних технологій та етики спільного використання інформації. На його думку, майбутньому суспільству належить жити в «комп-утопії», електронні комунікації тут отримають статус парламентських систем, тобто стануть технологічними. Розвиток таких інформаційних </w:t>
      </w:r>
      <w:r w:rsidRPr="00C575B9">
        <w:rPr>
          <w:rFonts w:ascii="Arial" w:eastAsia="Arial" w:hAnsi="Arial" w:cs="Arial"/>
          <w:sz w:val="28"/>
          <w:szCs w:val="28"/>
        </w:rPr>
        <w:lastRenderedPageBreak/>
        <w:t>мереж передбачає проривну, революційну модель прийняття рішень. Головною відмінністю стане наявність зворотного зв'язку, що дозволить змінювати або коригувати рішення, а швидкість передачі не збільшить, і навіть скоротить час з його прийняття. У такій моделі можна буде враховувати думку всіх верств населення, тому що зворотний зв'язок буде здійснюватись доти, доки не буде сформовано відповідне рішення. Це дозволить задовольнити інтереси не тільки більшості, як у сучасних демократичних країнах, а й меншин.</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6F081665" wp14:editId="24500206">
            <wp:extent cx="305759" cy="268383"/>
            <wp:effectExtent l="0" t="0" r="0" b="0"/>
            <wp:docPr id="44041"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Існує шість базисних принципів демократичної участі в інформаційному суспільстві:</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1) усі громадяни або, принаймні переважна їх кількість, повинні брати участь у процесах прийняття рішень;</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2) синергія (добровільна участь у вирішенні загальних проблем) та взаємодопомога (готовність жертвувати своїми інтересами) як основа вироблення політичних рішень;</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3) доступність широким масам населення всієї необхідної інформації для обґрунтованого ухвалення політичних рішень;</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4) отримана вигода та доходи повинні розподілятися між усіма громадянами;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5) вирішення політичних питань слід шукати шляхом переконання та досягнення загальної згоди;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6) прийняте рішення має реалізовуватись шляхом спільних дій, співпраці всіх громадян.</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Положення про право вільного доступу громадян до державної інформації у сучасних розвинених демократіях вже отримало повсюдне поширення та закріплено в законодавстві.</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Для поширення електронної демократії дала поштовх та обставина, що Інтернет став зручним місцем зустрічей для різних груп за інтересами, професійними спільнотами, споживчими асоціаціями тощо. Інтернет-спільноти виникають навколо певних електронних ресурсів та експлуатують природне прагнення людей до спілкування з однодумцями. Відмінними рисами інтернет-спільнот вважаються:</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регулярна відвідуваність досить стабільними аудиторіями мережного ресурсу, навколо якого створюється співтовариство;</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наявність зворотного зв'язку завдяки інтерактивним можливостям ресурсу;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 створення власної субкультури, з усіма обов'язковими атрибутами: ієрархією, етичними та поведінковими нормами, рольовими іграми, спільною участю в online/offline заходах.</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Синонімами електронної демократії можна вважати також поняття «мережевої демократії», «Демократії 3.0», «вікідемократії» та «плинної (рухомої) демократії» («Liquid Democracy»).</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«Мережева демократія» означає широку участь громадянського суспільства в процесі прийняття політичні рішення через Інтернет. «Демократія 3.0» наголошує на використанні найбільш сучасної інтерактивної платформи Web 3.0 для реалізації концепції «мережевої демократії». «Вікідемократія» позначає модель прямої електронної демократії, засновану на поєднанні принципу спільної роботи громадян над рішеннями (як у Вікіпедії) та загального голосування з усіх спірних питань (як при прямій демократії). Люди можуть вносити будь-які пропозиції щодо рішень та правки в них, але прийнятими вважаються лише ті пропозиції, які підтримані більшістю тих, хто проголосував.</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2C6A7839" wp14:editId="0B92E698">
            <wp:extent cx="305759" cy="268383"/>
            <wp:effectExtent l="0" t="0" r="0" b="0"/>
            <wp:docPr id="44040"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«Поточна (рухлива, хмарна) демократія» - це найбільш гнучкий варіант мережевий демократії, симбіоз прямої та представницької демократії. Її суть зводиться до наступного. Оскільки окремо взятий громадянин не може однаково добре розумітися одночасно на всіх проблемах, він має право з будь-якого питання делегувати свій голос іншим учасникам голосування, у тому числі експертам (фахівцям чи політикам від різних партій, а також безпартійним).</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 окрему увагу заслуговує концепція «електронного уряду» (далі - ЕП), яка не тотожна поняттю електронного демократії. Відповідно до визначення Європейського комісії, електронний уряд – це використання у державних структурах інформаційно-телекомунікаційних технологій на тлі проведення організаційних реформ та формування у державних службовців навичок, спрямованих на покращення функціонування держструктур та підвищення рівня наданих ними послуг. З цього випливає, що основна мета застосування ЕП – підвищення ефективності роботи державних служб.</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Індекс розвитку електронного уряду (EGovernment Development Index, EGDI) складається раз на два роки Департаментом </w:t>
      </w:r>
      <w:r w:rsidRPr="00C575B9">
        <w:rPr>
          <w:rFonts w:ascii="Arial" w:eastAsia="Arial" w:hAnsi="Arial" w:cs="Arial"/>
          <w:sz w:val="28"/>
          <w:szCs w:val="28"/>
        </w:rPr>
        <w:lastRenderedPageBreak/>
        <w:t>економічного і соціального розвитку ООН (UN DESA, United Nations Department of Economic and Social Affairs).</w:t>
      </w:r>
    </w:p>
    <w:p w:rsidR="00AD5B00" w:rsidRPr="00C575B9" w:rsidRDefault="00AD5B00" w:rsidP="00AD5B00">
      <w:pPr>
        <w:spacing w:after="0" w:line="288" w:lineRule="auto"/>
        <w:ind w:firstLine="720"/>
        <w:jc w:val="both"/>
        <w:rPr>
          <w:rFonts w:ascii="Arial" w:eastAsia="Times New Roman CYR" w:hAnsi="Arial" w:cs="Arial"/>
          <w:sz w:val="28"/>
          <w:szCs w:val="28"/>
        </w:rPr>
      </w:pPr>
      <w:r w:rsidRPr="00C575B9">
        <w:rPr>
          <w:rFonts w:ascii="Arial" w:eastAsia="Arial" w:hAnsi="Arial" w:cs="Arial"/>
          <w:sz w:val="28"/>
          <w:szCs w:val="28"/>
        </w:rPr>
        <w:t xml:space="preserve">Індекс складається із трьох підіндексів, що характеризують стан ІКТ-інфраструктури, людського капіталу та онлайнових державних послуг. Розподіл країн </w:t>
      </w:r>
      <w:r w:rsidRPr="00C575B9">
        <w:rPr>
          <w:rFonts w:ascii="Arial" w:eastAsia="Times New Roman CYR" w:hAnsi="Arial" w:cs="Arial"/>
          <w:sz w:val="28"/>
          <w:szCs w:val="28"/>
        </w:rPr>
        <w:t>відповідно до рівня EGDI у 2020 році, згідно дослідження ООН стосовно електронного уряду, подано на рис. 27.</w:t>
      </w:r>
    </w:p>
    <w:p w:rsidR="00AD5B00" w:rsidRPr="00C575B9" w:rsidRDefault="00AD5B00" w:rsidP="00AD5B00">
      <w:pPr>
        <w:spacing w:after="0" w:line="288" w:lineRule="auto"/>
        <w:ind w:firstLine="720"/>
        <w:jc w:val="both"/>
        <w:rPr>
          <w:rFonts w:ascii="Arial" w:eastAsia="Arial" w:hAnsi="Arial" w:cs="Arial"/>
          <w:sz w:val="28"/>
          <w:szCs w:val="28"/>
        </w:rPr>
      </w:pPr>
    </w:p>
    <w:p w:rsidR="00AD5B00" w:rsidRPr="00C575B9" w:rsidRDefault="00AD5B00" w:rsidP="00AD5B00">
      <w:pPr>
        <w:spacing w:after="0" w:line="288" w:lineRule="auto"/>
        <w:jc w:val="both"/>
        <w:rPr>
          <w:rFonts w:ascii="Arial" w:eastAsia="Arial" w:hAnsi="Arial" w:cs="Arial"/>
          <w:sz w:val="28"/>
          <w:szCs w:val="28"/>
        </w:rPr>
      </w:pPr>
      <w:r w:rsidRPr="00C575B9">
        <w:rPr>
          <w:noProof/>
          <w:lang w:val="ru-RU" w:eastAsia="ru-RU"/>
        </w:rPr>
        <w:drawing>
          <wp:inline distT="0" distB="0" distL="0" distR="0" wp14:anchorId="1DA51E6D" wp14:editId="628D00D4">
            <wp:extent cx="6602819" cy="3976577"/>
            <wp:effectExtent l="0" t="0" r="762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0116" t="21649" r="23404" b="37493"/>
                    <a:stretch/>
                  </pic:blipFill>
                  <pic:spPr bwMode="auto">
                    <a:xfrm>
                      <a:off x="0" y="0"/>
                      <a:ext cx="6616633" cy="3984897"/>
                    </a:xfrm>
                    <a:prstGeom prst="rect">
                      <a:avLst/>
                    </a:prstGeom>
                    <a:ln>
                      <a:noFill/>
                    </a:ln>
                    <a:extLst>
                      <a:ext uri="{53640926-AAD7-44D8-BBD7-CCE9431645EC}">
                        <a14:shadowObscured xmlns:a14="http://schemas.microsoft.com/office/drawing/2010/main"/>
                      </a:ext>
                    </a:extLst>
                  </pic:spPr>
                </pic:pic>
              </a:graphicData>
            </a:graphic>
          </wp:inline>
        </w:drawing>
      </w:r>
    </w:p>
    <w:p w:rsidR="00AD5B00" w:rsidRPr="00C575B9" w:rsidRDefault="00AD5B00" w:rsidP="00AD5B00">
      <w:pPr>
        <w:spacing w:after="0" w:line="288" w:lineRule="auto"/>
        <w:jc w:val="both"/>
        <w:rPr>
          <w:rFonts w:ascii="Arial" w:eastAsia="Arial" w:hAnsi="Arial" w:cs="Arial"/>
          <w:sz w:val="28"/>
          <w:szCs w:val="28"/>
        </w:rPr>
      </w:pPr>
    </w:p>
    <w:p w:rsidR="00AD5B00" w:rsidRPr="00C575B9" w:rsidRDefault="00AD5B00" w:rsidP="00AD5B00">
      <w:pPr>
        <w:spacing w:after="0" w:line="288" w:lineRule="auto"/>
        <w:jc w:val="center"/>
        <w:rPr>
          <w:rFonts w:ascii="Arial" w:eastAsia="Times New Roman CYR" w:hAnsi="Arial" w:cs="Arial"/>
          <w:b/>
          <w:sz w:val="28"/>
          <w:szCs w:val="28"/>
        </w:rPr>
      </w:pPr>
      <w:r w:rsidRPr="00C575B9">
        <w:rPr>
          <w:rFonts w:ascii="Arial" w:eastAsia="Times New Roman CYR" w:hAnsi="Arial" w:cs="Arial"/>
          <w:sz w:val="28"/>
          <w:szCs w:val="28"/>
        </w:rPr>
        <w:t xml:space="preserve">Рис. 27. </w:t>
      </w:r>
      <w:r w:rsidRPr="00C575B9">
        <w:rPr>
          <w:rFonts w:ascii="Arial" w:eastAsia="Times New Roman CYR" w:hAnsi="Arial" w:cs="Arial"/>
          <w:b/>
          <w:sz w:val="28"/>
          <w:szCs w:val="28"/>
        </w:rPr>
        <w:t>Глобальний та регіональний розподіл 193 країн відповідно до рівня EGDI, 2020 р.</w:t>
      </w:r>
    </w:p>
    <w:p w:rsidR="00AD5B00" w:rsidRPr="00C575B9" w:rsidRDefault="00AD5B00" w:rsidP="00AD5B00">
      <w:pPr>
        <w:spacing w:after="0" w:line="288" w:lineRule="auto"/>
        <w:ind w:firstLine="709"/>
        <w:jc w:val="both"/>
        <w:rPr>
          <w:rFonts w:ascii="Arial" w:eastAsia="Arial" w:hAnsi="Arial" w:cs="Arial"/>
          <w:sz w:val="28"/>
          <w:szCs w:val="28"/>
        </w:rPr>
      </w:pPr>
    </w:p>
    <w:p w:rsidR="00AD5B00" w:rsidRPr="00C575B9" w:rsidRDefault="00AD5B00" w:rsidP="00AD5B00">
      <w:pPr>
        <w:spacing w:after="0" w:line="288" w:lineRule="auto"/>
        <w:ind w:firstLine="709"/>
        <w:jc w:val="both"/>
        <w:rPr>
          <w:rFonts w:ascii="Arial" w:eastAsia="Times New Roman CYR" w:hAnsi="Arial" w:cs="Arial"/>
          <w:sz w:val="28"/>
          <w:szCs w:val="28"/>
        </w:rPr>
      </w:pPr>
      <w:r w:rsidRPr="00C575B9">
        <w:rPr>
          <w:rFonts w:ascii="Arial" w:eastAsia="Arial" w:hAnsi="Arial" w:cs="Arial"/>
          <w:sz w:val="28"/>
          <w:szCs w:val="28"/>
        </w:rPr>
        <w:t>Перелік країн Європи з найбільш високими значеннями Індексу розвитку електронного уряду</w:t>
      </w:r>
      <w:r w:rsidRPr="00C575B9">
        <w:rPr>
          <w:rFonts w:ascii="Arial" w:eastAsia="Times New Roman CYR" w:hAnsi="Arial" w:cs="Arial"/>
          <w:sz w:val="28"/>
          <w:szCs w:val="28"/>
        </w:rPr>
        <w:t xml:space="preserve"> (EGDI) у 2020 році подано в табл.2.</w:t>
      </w:r>
    </w:p>
    <w:p w:rsidR="00AD5B00" w:rsidRPr="00C575B9" w:rsidRDefault="00AD5B00" w:rsidP="00AD5B00">
      <w:pPr>
        <w:spacing w:after="0" w:line="288" w:lineRule="auto"/>
        <w:ind w:firstLine="709"/>
        <w:jc w:val="right"/>
        <w:rPr>
          <w:rFonts w:ascii="Arial" w:eastAsia="Times New Roman CYR" w:hAnsi="Arial" w:cs="Arial"/>
          <w:sz w:val="28"/>
          <w:szCs w:val="28"/>
        </w:rPr>
      </w:pPr>
    </w:p>
    <w:p w:rsidR="00AD5B00" w:rsidRPr="00C575B9" w:rsidRDefault="00AD5B00" w:rsidP="00AD5B00">
      <w:pPr>
        <w:spacing w:after="0" w:line="288" w:lineRule="auto"/>
        <w:ind w:firstLine="709"/>
        <w:jc w:val="right"/>
        <w:rPr>
          <w:rFonts w:ascii="Arial" w:eastAsia="Times New Roman CYR" w:hAnsi="Arial" w:cs="Arial"/>
          <w:sz w:val="28"/>
          <w:szCs w:val="28"/>
        </w:rPr>
      </w:pPr>
      <w:r w:rsidRPr="00C575B9">
        <w:rPr>
          <w:rFonts w:ascii="Arial" w:eastAsia="Times New Roman CYR" w:hAnsi="Arial" w:cs="Arial"/>
          <w:sz w:val="28"/>
          <w:szCs w:val="28"/>
        </w:rPr>
        <w:t>Таблиця 2</w:t>
      </w:r>
    </w:p>
    <w:p w:rsidR="00AD5B00" w:rsidRPr="00C575B9" w:rsidRDefault="00AD5B00" w:rsidP="00AD5B00">
      <w:pPr>
        <w:spacing w:after="0" w:line="288" w:lineRule="auto"/>
        <w:ind w:firstLine="709"/>
        <w:jc w:val="center"/>
        <w:rPr>
          <w:rFonts w:ascii="Arial" w:eastAsia="Times New Roman CYR" w:hAnsi="Arial" w:cs="Arial"/>
          <w:b/>
          <w:sz w:val="28"/>
          <w:szCs w:val="28"/>
        </w:rPr>
      </w:pPr>
      <w:r w:rsidRPr="00C575B9">
        <w:rPr>
          <w:rFonts w:ascii="Arial" w:eastAsia="Arial" w:hAnsi="Arial" w:cs="Arial"/>
          <w:b/>
          <w:sz w:val="28"/>
          <w:szCs w:val="28"/>
        </w:rPr>
        <w:t xml:space="preserve">Країни Європи з найбільш високими значеннями </w:t>
      </w:r>
      <w:r w:rsidRPr="00C575B9">
        <w:rPr>
          <w:rFonts w:ascii="Arial" w:eastAsia="Times New Roman CYR" w:hAnsi="Arial" w:cs="Arial"/>
          <w:b/>
          <w:sz w:val="28"/>
          <w:szCs w:val="28"/>
        </w:rPr>
        <w:t>EGDI</w:t>
      </w:r>
    </w:p>
    <w:tbl>
      <w:tblPr>
        <w:tblStyle w:val="a3"/>
        <w:tblW w:w="10090" w:type="dxa"/>
        <w:jc w:val="center"/>
        <w:tblLook w:val="04A0" w:firstRow="1" w:lastRow="0" w:firstColumn="1" w:lastColumn="0" w:noHBand="0" w:noVBand="1"/>
      </w:tblPr>
      <w:tblGrid>
        <w:gridCol w:w="1546"/>
        <w:gridCol w:w="832"/>
        <w:gridCol w:w="945"/>
        <w:gridCol w:w="1121"/>
        <w:gridCol w:w="768"/>
        <w:gridCol w:w="1110"/>
        <w:gridCol w:w="1110"/>
        <w:gridCol w:w="1110"/>
        <w:gridCol w:w="774"/>
        <w:gridCol w:w="774"/>
      </w:tblGrid>
      <w:tr w:rsidR="00AD5B00" w:rsidRPr="00C575B9" w:rsidTr="00094270">
        <w:trPr>
          <w:jc w:val="center"/>
        </w:trPr>
        <w:tc>
          <w:tcPr>
            <w:tcW w:w="1546" w:type="dxa"/>
          </w:tcPr>
          <w:p w:rsidR="00AD5B00" w:rsidRPr="00C575B9" w:rsidRDefault="00AD5B00" w:rsidP="00094270">
            <w:pPr>
              <w:spacing w:line="298" w:lineRule="auto"/>
              <w:jc w:val="center"/>
              <w:rPr>
                <w:b/>
              </w:rPr>
            </w:pPr>
            <w:r w:rsidRPr="00C575B9">
              <w:rPr>
                <w:b/>
              </w:rPr>
              <w:t>Країна</w:t>
            </w:r>
          </w:p>
        </w:tc>
        <w:tc>
          <w:tcPr>
            <w:tcW w:w="833" w:type="dxa"/>
          </w:tcPr>
          <w:p w:rsidR="00AD5B00" w:rsidRPr="00C575B9" w:rsidRDefault="00AD5B00" w:rsidP="00094270">
            <w:pPr>
              <w:spacing w:line="298" w:lineRule="auto"/>
              <w:jc w:val="center"/>
              <w:rPr>
                <w:b/>
              </w:rPr>
            </w:pPr>
            <w:r w:rsidRPr="00C575B9">
              <w:rPr>
                <w:b/>
              </w:rPr>
              <w:t>Клас оцінки</w:t>
            </w:r>
          </w:p>
        </w:tc>
        <w:tc>
          <w:tcPr>
            <w:tcW w:w="947" w:type="dxa"/>
          </w:tcPr>
          <w:p w:rsidR="00AD5B00" w:rsidRPr="00C575B9" w:rsidRDefault="00AD5B00" w:rsidP="00094270">
            <w:pPr>
              <w:spacing w:line="298" w:lineRule="auto"/>
              <w:jc w:val="center"/>
              <w:rPr>
                <w:b/>
              </w:rPr>
            </w:pPr>
            <w:r w:rsidRPr="00C575B9">
              <w:rPr>
                <w:b/>
              </w:rPr>
              <w:t>Позиція</w:t>
            </w:r>
          </w:p>
          <w:p w:rsidR="00AD5B00" w:rsidRPr="00C575B9" w:rsidRDefault="00AD5B00" w:rsidP="00094270">
            <w:pPr>
              <w:spacing w:line="298" w:lineRule="auto"/>
              <w:jc w:val="center"/>
              <w:rPr>
                <w:b/>
              </w:rPr>
            </w:pPr>
            <w:r w:rsidRPr="00C575B9">
              <w:rPr>
                <w:b/>
              </w:rPr>
              <w:t>EGDI</w:t>
            </w:r>
          </w:p>
        </w:tc>
        <w:tc>
          <w:tcPr>
            <w:tcW w:w="1123" w:type="dxa"/>
          </w:tcPr>
          <w:p w:rsidR="00AD5B00" w:rsidRPr="00C575B9" w:rsidRDefault="00AD5B00" w:rsidP="00094270">
            <w:pPr>
              <w:spacing w:line="298" w:lineRule="auto"/>
              <w:jc w:val="center"/>
              <w:rPr>
                <w:b/>
              </w:rPr>
            </w:pPr>
            <w:r w:rsidRPr="00C575B9">
              <w:rPr>
                <w:b/>
              </w:rPr>
              <w:t>Субрегіон</w:t>
            </w:r>
          </w:p>
        </w:tc>
        <w:tc>
          <w:tcPr>
            <w:tcW w:w="770" w:type="dxa"/>
          </w:tcPr>
          <w:p w:rsidR="00AD5B00" w:rsidRPr="00C575B9" w:rsidRDefault="00AD5B00" w:rsidP="00094270">
            <w:pPr>
              <w:spacing w:line="298" w:lineRule="auto"/>
              <w:jc w:val="center"/>
              <w:rPr>
                <w:b/>
              </w:rPr>
            </w:pPr>
            <w:r w:rsidRPr="00C575B9">
              <w:rPr>
                <w:b/>
              </w:rPr>
              <w:t>Група</w:t>
            </w:r>
          </w:p>
          <w:p w:rsidR="00AD5B00" w:rsidRPr="00C575B9" w:rsidRDefault="00AD5B00" w:rsidP="00094270">
            <w:pPr>
              <w:spacing w:line="298" w:lineRule="auto"/>
              <w:jc w:val="center"/>
              <w:rPr>
                <w:b/>
              </w:rPr>
            </w:pPr>
            <w:r w:rsidRPr="00C575B9">
              <w:rPr>
                <w:b/>
              </w:rPr>
              <w:t>EC</w:t>
            </w:r>
          </w:p>
        </w:tc>
        <w:tc>
          <w:tcPr>
            <w:tcW w:w="1113" w:type="dxa"/>
          </w:tcPr>
          <w:p w:rsidR="00AD5B00" w:rsidRPr="00C575B9" w:rsidRDefault="00AD5B00" w:rsidP="00094270">
            <w:pPr>
              <w:spacing w:line="298" w:lineRule="auto"/>
              <w:jc w:val="center"/>
              <w:rPr>
                <w:b/>
              </w:rPr>
            </w:pPr>
            <w:r w:rsidRPr="00C575B9">
              <w:rPr>
                <w:b/>
              </w:rPr>
              <w:t>Показник</w:t>
            </w:r>
          </w:p>
          <w:p w:rsidR="00AD5B00" w:rsidRPr="00C575B9" w:rsidRDefault="00AD5B00" w:rsidP="00094270">
            <w:pPr>
              <w:spacing w:line="298" w:lineRule="auto"/>
              <w:jc w:val="center"/>
              <w:rPr>
                <w:b/>
              </w:rPr>
            </w:pPr>
            <w:r w:rsidRPr="00C575B9">
              <w:rPr>
                <w:b/>
              </w:rPr>
              <w:t>OSI</w:t>
            </w:r>
          </w:p>
        </w:tc>
        <w:tc>
          <w:tcPr>
            <w:tcW w:w="1113" w:type="dxa"/>
          </w:tcPr>
          <w:p w:rsidR="00AD5B00" w:rsidRPr="00C575B9" w:rsidRDefault="00AD5B00" w:rsidP="00094270">
            <w:pPr>
              <w:spacing w:line="298" w:lineRule="auto"/>
              <w:jc w:val="center"/>
              <w:rPr>
                <w:b/>
              </w:rPr>
            </w:pPr>
            <w:r w:rsidRPr="00C575B9">
              <w:rPr>
                <w:b/>
              </w:rPr>
              <w:t>Показник</w:t>
            </w:r>
          </w:p>
          <w:p w:rsidR="00AD5B00" w:rsidRPr="00C575B9" w:rsidRDefault="00AD5B00" w:rsidP="00094270">
            <w:pPr>
              <w:spacing w:line="298" w:lineRule="auto"/>
              <w:jc w:val="center"/>
              <w:rPr>
                <w:b/>
              </w:rPr>
            </w:pPr>
            <w:r w:rsidRPr="00C575B9">
              <w:rPr>
                <w:b/>
              </w:rPr>
              <w:t>HCI</w:t>
            </w:r>
          </w:p>
        </w:tc>
        <w:tc>
          <w:tcPr>
            <w:tcW w:w="1113" w:type="dxa"/>
          </w:tcPr>
          <w:p w:rsidR="00AD5B00" w:rsidRPr="00C575B9" w:rsidRDefault="00AD5B00" w:rsidP="00094270">
            <w:pPr>
              <w:spacing w:line="298" w:lineRule="auto"/>
              <w:jc w:val="center"/>
              <w:rPr>
                <w:b/>
              </w:rPr>
            </w:pPr>
            <w:r w:rsidRPr="00C575B9">
              <w:rPr>
                <w:b/>
              </w:rPr>
              <w:t>Показник</w:t>
            </w:r>
          </w:p>
          <w:p w:rsidR="00AD5B00" w:rsidRPr="00C575B9" w:rsidRDefault="00AD5B00" w:rsidP="00094270">
            <w:pPr>
              <w:spacing w:line="298" w:lineRule="auto"/>
              <w:jc w:val="center"/>
              <w:rPr>
                <w:b/>
              </w:rPr>
            </w:pPr>
            <w:r w:rsidRPr="00C575B9">
              <w:rPr>
                <w:b/>
              </w:rPr>
              <w:t>TII</w:t>
            </w:r>
          </w:p>
        </w:tc>
        <w:tc>
          <w:tcPr>
            <w:tcW w:w="766" w:type="dxa"/>
          </w:tcPr>
          <w:p w:rsidR="00AD5B00" w:rsidRPr="00C575B9" w:rsidRDefault="00AD5B00" w:rsidP="00094270">
            <w:pPr>
              <w:spacing w:line="298" w:lineRule="auto"/>
              <w:jc w:val="center"/>
              <w:rPr>
                <w:b/>
              </w:rPr>
            </w:pPr>
            <w:r w:rsidRPr="00C575B9">
              <w:rPr>
                <w:b/>
              </w:rPr>
              <w:t>EGDI</w:t>
            </w:r>
          </w:p>
          <w:p w:rsidR="00AD5B00" w:rsidRPr="00C575B9" w:rsidRDefault="00AD5B00" w:rsidP="00094270">
            <w:pPr>
              <w:spacing w:line="298" w:lineRule="auto"/>
              <w:jc w:val="center"/>
              <w:rPr>
                <w:b/>
              </w:rPr>
            </w:pPr>
            <w:r w:rsidRPr="00C575B9">
              <w:rPr>
                <w:b/>
              </w:rPr>
              <w:t>(2020)</w:t>
            </w:r>
          </w:p>
        </w:tc>
        <w:tc>
          <w:tcPr>
            <w:tcW w:w="766" w:type="dxa"/>
          </w:tcPr>
          <w:p w:rsidR="00AD5B00" w:rsidRPr="00C575B9" w:rsidRDefault="00AD5B00" w:rsidP="00094270">
            <w:pPr>
              <w:spacing w:line="298" w:lineRule="auto"/>
              <w:jc w:val="center"/>
              <w:rPr>
                <w:b/>
              </w:rPr>
            </w:pPr>
            <w:r w:rsidRPr="00C575B9">
              <w:rPr>
                <w:b/>
              </w:rPr>
              <w:t>EGDI</w:t>
            </w:r>
          </w:p>
          <w:p w:rsidR="00AD5B00" w:rsidRPr="00C575B9" w:rsidRDefault="00AD5B00" w:rsidP="00094270">
            <w:pPr>
              <w:spacing w:line="298" w:lineRule="auto"/>
              <w:jc w:val="center"/>
              <w:rPr>
                <w:b/>
              </w:rPr>
            </w:pPr>
            <w:r w:rsidRPr="00C575B9">
              <w:rPr>
                <w:b/>
              </w:rPr>
              <w:t>(2018)</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Данія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1</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0.9706</w:t>
            </w:r>
          </w:p>
        </w:tc>
        <w:tc>
          <w:tcPr>
            <w:tcW w:w="1113" w:type="dxa"/>
          </w:tcPr>
          <w:p w:rsidR="00AD5B00" w:rsidRPr="00C575B9" w:rsidRDefault="00AD5B00" w:rsidP="00094270">
            <w:pPr>
              <w:spacing w:line="298" w:lineRule="auto"/>
              <w:jc w:val="center"/>
            </w:pPr>
            <w:r w:rsidRPr="00C575B9">
              <w:t>0.9588</w:t>
            </w:r>
          </w:p>
        </w:tc>
        <w:tc>
          <w:tcPr>
            <w:tcW w:w="1113" w:type="dxa"/>
          </w:tcPr>
          <w:p w:rsidR="00AD5B00" w:rsidRPr="00C575B9" w:rsidRDefault="00AD5B00" w:rsidP="00094270">
            <w:pPr>
              <w:spacing w:line="298" w:lineRule="auto"/>
              <w:jc w:val="center"/>
            </w:pPr>
            <w:r w:rsidRPr="00C575B9">
              <w:t>0.9979</w:t>
            </w:r>
          </w:p>
        </w:tc>
        <w:tc>
          <w:tcPr>
            <w:tcW w:w="766" w:type="dxa"/>
          </w:tcPr>
          <w:p w:rsidR="00AD5B00" w:rsidRPr="00C575B9" w:rsidRDefault="00AD5B00" w:rsidP="00094270">
            <w:pPr>
              <w:spacing w:line="298" w:lineRule="auto"/>
              <w:jc w:val="center"/>
            </w:pPr>
            <w:r w:rsidRPr="00C575B9">
              <w:t>0.9758</w:t>
            </w:r>
          </w:p>
        </w:tc>
        <w:tc>
          <w:tcPr>
            <w:tcW w:w="766" w:type="dxa"/>
          </w:tcPr>
          <w:p w:rsidR="00AD5B00" w:rsidRPr="00C575B9" w:rsidRDefault="00AD5B00" w:rsidP="00094270">
            <w:pPr>
              <w:spacing w:line="298" w:lineRule="auto"/>
              <w:jc w:val="center"/>
            </w:pPr>
            <w:r w:rsidRPr="00C575B9">
              <w:t>0.915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lastRenderedPageBreak/>
              <w:t>Естонія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3</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0.9941</w:t>
            </w:r>
          </w:p>
        </w:tc>
        <w:tc>
          <w:tcPr>
            <w:tcW w:w="1113" w:type="dxa"/>
          </w:tcPr>
          <w:p w:rsidR="00AD5B00" w:rsidRPr="00C575B9" w:rsidRDefault="00AD5B00" w:rsidP="00094270">
            <w:pPr>
              <w:spacing w:line="298" w:lineRule="auto"/>
              <w:jc w:val="center"/>
            </w:pPr>
            <w:r w:rsidRPr="00C575B9">
              <w:t>0.9266</w:t>
            </w:r>
          </w:p>
        </w:tc>
        <w:tc>
          <w:tcPr>
            <w:tcW w:w="1113" w:type="dxa"/>
          </w:tcPr>
          <w:p w:rsidR="00AD5B00" w:rsidRPr="00C575B9" w:rsidRDefault="00AD5B00" w:rsidP="00094270">
            <w:pPr>
              <w:spacing w:line="298" w:lineRule="auto"/>
              <w:jc w:val="center"/>
            </w:pPr>
            <w:r w:rsidRPr="00C575B9">
              <w:t>0.9212</w:t>
            </w:r>
          </w:p>
        </w:tc>
        <w:tc>
          <w:tcPr>
            <w:tcW w:w="766" w:type="dxa"/>
          </w:tcPr>
          <w:p w:rsidR="00AD5B00" w:rsidRPr="00C575B9" w:rsidRDefault="00AD5B00" w:rsidP="00094270">
            <w:pPr>
              <w:spacing w:line="298" w:lineRule="auto"/>
              <w:jc w:val="center"/>
            </w:pPr>
            <w:r w:rsidRPr="00C575B9">
              <w:t>0.9473</w:t>
            </w:r>
          </w:p>
        </w:tc>
        <w:tc>
          <w:tcPr>
            <w:tcW w:w="766" w:type="dxa"/>
          </w:tcPr>
          <w:p w:rsidR="00AD5B00" w:rsidRPr="00C575B9" w:rsidRDefault="00AD5B00" w:rsidP="00094270">
            <w:pPr>
              <w:spacing w:line="298" w:lineRule="auto"/>
              <w:jc w:val="center"/>
            </w:pPr>
            <w:r w:rsidRPr="00C575B9">
              <w:t>0.8486</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Фінляндія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4</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0.9706</w:t>
            </w:r>
          </w:p>
        </w:tc>
        <w:tc>
          <w:tcPr>
            <w:tcW w:w="1113" w:type="dxa"/>
          </w:tcPr>
          <w:p w:rsidR="00AD5B00" w:rsidRPr="00C575B9" w:rsidRDefault="00AD5B00" w:rsidP="00094270">
            <w:pPr>
              <w:spacing w:line="298" w:lineRule="auto"/>
              <w:jc w:val="center"/>
            </w:pPr>
            <w:r w:rsidRPr="00C575B9">
              <w:t>0.9549</w:t>
            </w:r>
          </w:p>
        </w:tc>
        <w:tc>
          <w:tcPr>
            <w:tcW w:w="1113" w:type="dxa"/>
          </w:tcPr>
          <w:p w:rsidR="00AD5B00" w:rsidRPr="00C575B9" w:rsidRDefault="00AD5B00" w:rsidP="00094270">
            <w:pPr>
              <w:spacing w:line="298" w:lineRule="auto"/>
              <w:jc w:val="center"/>
            </w:pPr>
            <w:r w:rsidRPr="00C575B9">
              <w:t>0.9101</w:t>
            </w:r>
          </w:p>
        </w:tc>
        <w:tc>
          <w:tcPr>
            <w:tcW w:w="766" w:type="dxa"/>
          </w:tcPr>
          <w:p w:rsidR="00AD5B00" w:rsidRPr="00C575B9" w:rsidRDefault="00AD5B00" w:rsidP="00094270">
            <w:pPr>
              <w:spacing w:line="298" w:lineRule="auto"/>
              <w:jc w:val="center"/>
            </w:pPr>
            <w:r w:rsidRPr="00C575B9">
              <w:t>0.9452</w:t>
            </w:r>
          </w:p>
        </w:tc>
        <w:tc>
          <w:tcPr>
            <w:tcW w:w="766" w:type="dxa"/>
          </w:tcPr>
          <w:p w:rsidR="00AD5B00" w:rsidRPr="00C575B9" w:rsidRDefault="00AD5B00" w:rsidP="00094270">
            <w:pPr>
              <w:spacing w:line="298" w:lineRule="auto"/>
              <w:jc w:val="center"/>
            </w:pPr>
            <w:r w:rsidRPr="00C575B9">
              <w:t>0.8815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Швеція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6</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0.9000</w:t>
            </w:r>
          </w:p>
        </w:tc>
        <w:tc>
          <w:tcPr>
            <w:tcW w:w="1113" w:type="dxa"/>
          </w:tcPr>
          <w:p w:rsidR="00AD5B00" w:rsidRPr="00C575B9" w:rsidRDefault="00AD5B00" w:rsidP="00094270">
            <w:pPr>
              <w:spacing w:line="298" w:lineRule="auto"/>
              <w:jc w:val="center"/>
            </w:pPr>
            <w:r w:rsidRPr="00C575B9">
              <w:t>0.9471</w:t>
            </w:r>
          </w:p>
        </w:tc>
        <w:tc>
          <w:tcPr>
            <w:tcW w:w="1113" w:type="dxa"/>
          </w:tcPr>
          <w:p w:rsidR="00AD5B00" w:rsidRPr="00C575B9" w:rsidRDefault="00AD5B00" w:rsidP="00094270">
            <w:pPr>
              <w:spacing w:line="298" w:lineRule="auto"/>
              <w:jc w:val="center"/>
            </w:pPr>
            <w:r w:rsidRPr="00C575B9">
              <w:t>0.9625</w:t>
            </w:r>
          </w:p>
        </w:tc>
        <w:tc>
          <w:tcPr>
            <w:tcW w:w="766" w:type="dxa"/>
          </w:tcPr>
          <w:p w:rsidR="00AD5B00" w:rsidRPr="00C575B9" w:rsidRDefault="00AD5B00" w:rsidP="00094270">
            <w:pPr>
              <w:spacing w:line="298" w:lineRule="auto"/>
              <w:jc w:val="center"/>
            </w:pPr>
            <w:r w:rsidRPr="00C575B9">
              <w:t>0.9365</w:t>
            </w:r>
          </w:p>
        </w:tc>
        <w:tc>
          <w:tcPr>
            <w:tcW w:w="766" w:type="dxa"/>
          </w:tcPr>
          <w:p w:rsidR="00AD5B00" w:rsidRPr="00C575B9" w:rsidRDefault="00AD5B00" w:rsidP="00094270">
            <w:pPr>
              <w:spacing w:line="298" w:lineRule="auto"/>
              <w:jc w:val="center"/>
            </w:pPr>
            <w:r w:rsidRPr="00C575B9">
              <w:t>0.8882</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Сполучене королівство Великобританії та Північної Ірландії</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7</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0.9588</w:t>
            </w:r>
          </w:p>
        </w:tc>
        <w:tc>
          <w:tcPr>
            <w:tcW w:w="1113" w:type="dxa"/>
          </w:tcPr>
          <w:p w:rsidR="00AD5B00" w:rsidRPr="00C575B9" w:rsidRDefault="00AD5B00" w:rsidP="00094270">
            <w:pPr>
              <w:spacing w:line="298" w:lineRule="auto"/>
              <w:jc w:val="center"/>
            </w:pPr>
            <w:r w:rsidRPr="00C575B9">
              <w:t>0.9292</w:t>
            </w:r>
          </w:p>
        </w:tc>
        <w:tc>
          <w:tcPr>
            <w:tcW w:w="1113" w:type="dxa"/>
          </w:tcPr>
          <w:p w:rsidR="00AD5B00" w:rsidRPr="00C575B9" w:rsidRDefault="00AD5B00" w:rsidP="00094270">
            <w:pPr>
              <w:spacing w:line="298" w:lineRule="auto"/>
              <w:jc w:val="center"/>
            </w:pPr>
            <w:r w:rsidRPr="00C575B9">
              <w:t>0.9195</w:t>
            </w:r>
          </w:p>
        </w:tc>
        <w:tc>
          <w:tcPr>
            <w:tcW w:w="766" w:type="dxa"/>
          </w:tcPr>
          <w:p w:rsidR="00AD5B00" w:rsidRPr="00C575B9" w:rsidRDefault="00AD5B00" w:rsidP="00094270">
            <w:pPr>
              <w:spacing w:line="298" w:lineRule="auto"/>
              <w:jc w:val="center"/>
            </w:pPr>
            <w:r w:rsidRPr="00C575B9">
              <w:t>0.9358</w:t>
            </w:r>
          </w:p>
        </w:tc>
        <w:tc>
          <w:tcPr>
            <w:tcW w:w="766" w:type="dxa"/>
          </w:tcPr>
          <w:p w:rsidR="00AD5B00" w:rsidRPr="00C575B9" w:rsidRDefault="00AD5B00" w:rsidP="00094270">
            <w:pPr>
              <w:spacing w:line="298" w:lineRule="auto"/>
              <w:jc w:val="center"/>
            </w:pPr>
            <w:r w:rsidRPr="00C575B9">
              <w:t>0.8999</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Нідерланди</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10</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0.9059</w:t>
            </w:r>
          </w:p>
        </w:tc>
        <w:tc>
          <w:tcPr>
            <w:tcW w:w="1113" w:type="dxa"/>
          </w:tcPr>
          <w:p w:rsidR="00AD5B00" w:rsidRPr="00C575B9" w:rsidRDefault="00AD5B00" w:rsidP="00094270">
            <w:pPr>
              <w:spacing w:line="298" w:lineRule="auto"/>
              <w:jc w:val="center"/>
            </w:pPr>
            <w:r w:rsidRPr="00C575B9">
              <w:t>0.9349</w:t>
            </w:r>
          </w:p>
        </w:tc>
        <w:tc>
          <w:tcPr>
            <w:tcW w:w="1113" w:type="dxa"/>
          </w:tcPr>
          <w:p w:rsidR="00AD5B00" w:rsidRPr="00C575B9" w:rsidRDefault="00AD5B00" w:rsidP="00094270">
            <w:pPr>
              <w:spacing w:line="298" w:lineRule="auto"/>
              <w:jc w:val="center"/>
            </w:pPr>
            <w:r w:rsidRPr="00C575B9">
              <w:t>0.9276</w:t>
            </w:r>
          </w:p>
        </w:tc>
        <w:tc>
          <w:tcPr>
            <w:tcW w:w="766" w:type="dxa"/>
          </w:tcPr>
          <w:p w:rsidR="00AD5B00" w:rsidRPr="00C575B9" w:rsidRDefault="00AD5B00" w:rsidP="00094270">
            <w:pPr>
              <w:spacing w:line="298" w:lineRule="auto"/>
              <w:jc w:val="center"/>
            </w:pPr>
            <w:r w:rsidRPr="00C575B9">
              <w:t>0.9228</w:t>
            </w:r>
          </w:p>
        </w:tc>
        <w:tc>
          <w:tcPr>
            <w:tcW w:w="766" w:type="dxa"/>
          </w:tcPr>
          <w:p w:rsidR="00AD5B00" w:rsidRPr="00C575B9" w:rsidRDefault="00AD5B00" w:rsidP="00094270">
            <w:pPr>
              <w:spacing w:line="298" w:lineRule="auto"/>
              <w:jc w:val="center"/>
            </w:pPr>
            <w:r w:rsidRPr="00C575B9">
              <w:t>0.8757</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Ісландія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12</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0.7941</w:t>
            </w:r>
          </w:p>
        </w:tc>
        <w:tc>
          <w:tcPr>
            <w:tcW w:w="1113" w:type="dxa"/>
          </w:tcPr>
          <w:p w:rsidR="00AD5B00" w:rsidRPr="00C575B9" w:rsidRDefault="00AD5B00" w:rsidP="00094270">
            <w:pPr>
              <w:spacing w:line="298" w:lineRule="auto"/>
              <w:jc w:val="center"/>
            </w:pPr>
            <w:r w:rsidRPr="00C575B9">
              <w:t>0.9525</w:t>
            </w:r>
          </w:p>
        </w:tc>
        <w:tc>
          <w:tcPr>
            <w:tcW w:w="1113" w:type="dxa"/>
          </w:tcPr>
          <w:p w:rsidR="00AD5B00" w:rsidRPr="00C575B9" w:rsidRDefault="00AD5B00" w:rsidP="00094270">
            <w:pPr>
              <w:spacing w:line="298" w:lineRule="auto"/>
              <w:jc w:val="center"/>
            </w:pPr>
            <w:r w:rsidRPr="00C575B9">
              <w:t>0.9838</w:t>
            </w:r>
          </w:p>
        </w:tc>
        <w:tc>
          <w:tcPr>
            <w:tcW w:w="766" w:type="dxa"/>
          </w:tcPr>
          <w:p w:rsidR="00AD5B00" w:rsidRPr="00C575B9" w:rsidRDefault="00AD5B00" w:rsidP="00094270">
            <w:pPr>
              <w:spacing w:line="298" w:lineRule="auto"/>
              <w:jc w:val="center"/>
            </w:pPr>
            <w:r w:rsidRPr="00C575B9">
              <w:t>0.9101</w:t>
            </w:r>
          </w:p>
        </w:tc>
        <w:tc>
          <w:tcPr>
            <w:tcW w:w="766" w:type="dxa"/>
          </w:tcPr>
          <w:p w:rsidR="00AD5B00" w:rsidRPr="00C575B9" w:rsidRDefault="00AD5B00" w:rsidP="00094270">
            <w:pPr>
              <w:spacing w:line="298" w:lineRule="auto"/>
              <w:jc w:val="center"/>
            </w:pPr>
            <w:r w:rsidRPr="00C575B9">
              <w:t>0.8316</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Норвегія</w:t>
            </w:r>
          </w:p>
        </w:tc>
        <w:tc>
          <w:tcPr>
            <w:tcW w:w="833" w:type="dxa"/>
          </w:tcPr>
          <w:p w:rsidR="00AD5B00" w:rsidRPr="00C575B9" w:rsidRDefault="00AD5B00" w:rsidP="00094270">
            <w:pPr>
              <w:spacing w:line="298" w:lineRule="auto"/>
              <w:jc w:val="center"/>
            </w:pPr>
            <w:r w:rsidRPr="00C575B9">
              <w:t>VH</w:t>
            </w:r>
          </w:p>
        </w:tc>
        <w:tc>
          <w:tcPr>
            <w:tcW w:w="947" w:type="dxa"/>
          </w:tcPr>
          <w:p w:rsidR="00AD5B00" w:rsidRPr="00C575B9" w:rsidRDefault="00AD5B00" w:rsidP="00094270">
            <w:pPr>
              <w:spacing w:line="298" w:lineRule="auto"/>
              <w:jc w:val="center"/>
            </w:pPr>
            <w:r w:rsidRPr="00C575B9">
              <w:t>13</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0.8765</w:t>
            </w:r>
          </w:p>
        </w:tc>
        <w:tc>
          <w:tcPr>
            <w:tcW w:w="1113" w:type="dxa"/>
          </w:tcPr>
          <w:p w:rsidR="00AD5B00" w:rsidRPr="00C575B9" w:rsidRDefault="00AD5B00" w:rsidP="00094270">
            <w:pPr>
              <w:spacing w:line="298" w:lineRule="auto"/>
              <w:jc w:val="center"/>
            </w:pPr>
            <w:r w:rsidRPr="00C575B9">
              <w:t>0.9392</w:t>
            </w:r>
          </w:p>
        </w:tc>
        <w:tc>
          <w:tcPr>
            <w:tcW w:w="1113" w:type="dxa"/>
          </w:tcPr>
          <w:p w:rsidR="00AD5B00" w:rsidRPr="00C575B9" w:rsidRDefault="00AD5B00" w:rsidP="00094270">
            <w:pPr>
              <w:spacing w:line="298" w:lineRule="auto"/>
              <w:jc w:val="center"/>
            </w:pPr>
            <w:r w:rsidRPr="00C575B9">
              <w:t>0.9034</w:t>
            </w:r>
          </w:p>
        </w:tc>
        <w:tc>
          <w:tcPr>
            <w:tcW w:w="766" w:type="dxa"/>
          </w:tcPr>
          <w:p w:rsidR="00AD5B00" w:rsidRPr="00C575B9" w:rsidRDefault="00AD5B00" w:rsidP="00094270">
            <w:pPr>
              <w:spacing w:line="298" w:lineRule="auto"/>
              <w:jc w:val="center"/>
            </w:pPr>
            <w:r w:rsidRPr="00C575B9">
              <w:t>0.9064</w:t>
            </w:r>
          </w:p>
        </w:tc>
        <w:tc>
          <w:tcPr>
            <w:tcW w:w="766" w:type="dxa"/>
          </w:tcPr>
          <w:p w:rsidR="00AD5B00" w:rsidRPr="00C575B9" w:rsidRDefault="00AD5B00" w:rsidP="00094270">
            <w:pPr>
              <w:spacing w:line="298" w:lineRule="auto"/>
              <w:jc w:val="center"/>
            </w:pPr>
            <w:r w:rsidRPr="00C575B9">
              <w:t>0.8557</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Австрія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15</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0.9471</w:t>
            </w:r>
          </w:p>
        </w:tc>
        <w:tc>
          <w:tcPr>
            <w:tcW w:w="1113" w:type="dxa"/>
          </w:tcPr>
          <w:p w:rsidR="00AD5B00" w:rsidRPr="00C575B9" w:rsidRDefault="00AD5B00" w:rsidP="00094270">
            <w:pPr>
              <w:spacing w:line="298" w:lineRule="auto"/>
              <w:jc w:val="center"/>
            </w:pPr>
            <w:r w:rsidRPr="00C575B9">
              <w:t>0.9032</w:t>
            </w:r>
          </w:p>
        </w:tc>
        <w:tc>
          <w:tcPr>
            <w:tcW w:w="1113" w:type="dxa"/>
          </w:tcPr>
          <w:p w:rsidR="00AD5B00" w:rsidRPr="00C575B9" w:rsidRDefault="00AD5B00" w:rsidP="00094270">
            <w:pPr>
              <w:spacing w:line="298" w:lineRule="auto"/>
              <w:jc w:val="center"/>
            </w:pPr>
            <w:r w:rsidRPr="00C575B9">
              <w:t>0.8240</w:t>
            </w:r>
          </w:p>
        </w:tc>
        <w:tc>
          <w:tcPr>
            <w:tcW w:w="766" w:type="dxa"/>
          </w:tcPr>
          <w:p w:rsidR="00AD5B00" w:rsidRPr="00C575B9" w:rsidRDefault="00AD5B00" w:rsidP="00094270">
            <w:pPr>
              <w:spacing w:line="298" w:lineRule="auto"/>
              <w:jc w:val="center"/>
            </w:pPr>
            <w:r w:rsidRPr="00C575B9">
              <w:t>0.8914</w:t>
            </w:r>
          </w:p>
        </w:tc>
        <w:tc>
          <w:tcPr>
            <w:tcW w:w="766" w:type="dxa"/>
          </w:tcPr>
          <w:p w:rsidR="00AD5B00" w:rsidRPr="00C575B9" w:rsidRDefault="00AD5B00" w:rsidP="00094270">
            <w:pPr>
              <w:spacing w:line="298" w:lineRule="auto"/>
              <w:jc w:val="center"/>
            </w:pPr>
            <w:r w:rsidRPr="00C575B9">
              <w:t>0.8301</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Швейцарія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16</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0.8294</w:t>
            </w:r>
          </w:p>
        </w:tc>
        <w:tc>
          <w:tcPr>
            <w:tcW w:w="1113" w:type="dxa"/>
          </w:tcPr>
          <w:p w:rsidR="00AD5B00" w:rsidRPr="00C575B9" w:rsidRDefault="00AD5B00" w:rsidP="00094270">
            <w:pPr>
              <w:spacing w:line="298" w:lineRule="auto"/>
              <w:jc w:val="center"/>
            </w:pPr>
            <w:r w:rsidRPr="00C575B9">
              <w:t>0.8946</w:t>
            </w:r>
          </w:p>
        </w:tc>
        <w:tc>
          <w:tcPr>
            <w:tcW w:w="1113" w:type="dxa"/>
          </w:tcPr>
          <w:p w:rsidR="00AD5B00" w:rsidRPr="00C575B9" w:rsidRDefault="00AD5B00" w:rsidP="00094270">
            <w:pPr>
              <w:spacing w:line="298" w:lineRule="auto"/>
              <w:jc w:val="center"/>
            </w:pPr>
            <w:r w:rsidRPr="00C575B9">
              <w:t>0.9482</w:t>
            </w:r>
          </w:p>
        </w:tc>
        <w:tc>
          <w:tcPr>
            <w:tcW w:w="766" w:type="dxa"/>
          </w:tcPr>
          <w:p w:rsidR="00AD5B00" w:rsidRPr="00C575B9" w:rsidRDefault="00AD5B00" w:rsidP="00094270">
            <w:pPr>
              <w:spacing w:line="298" w:lineRule="auto"/>
              <w:jc w:val="center"/>
            </w:pPr>
            <w:r w:rsidRPr="00C575B9">
              <w:t>0.8907</w:t>
            </w:r>
          </w:p>
        </w:tc>
        <w:tc>
          <w:tcPr>
            <w:tcW w:w="766" w:type="dxa"/>
          </w:tcPr>
          <w:p w:rsidR="00AD5B00" w:rsidRPr="00C575B9" w:rsidRDefault="00AD5B00" w:rsidP="00094270">
            <w:pPr>
              <w:spacing w:line="298" w:lineRule="auto"/>
              <w:jc w:val="center"/>
            </w:pPr>
            <w:r w:rsidRPr="00C575B9">
              <w:t>0.852</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Іспанія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17</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0.8882</w:t>
            </w:r>
          </w:p>
        </w:tc>
        <w:tc>
          <w:tcPr>
            <w:tcW w:w="1113" w:type="dxa"/>
          </w:tcPr>
          <w:p w:rsidR="00AD5B00" w:rsidRPr="00C575B9" w:rsidRDefault="00AD5B00" w:rsidP="00094270">
            <w:pPr>
              <w:spacing w:line="298" w:lineRule="auto"/>
              <w:jc w:val="center"/>
            </w:pPr>
            <w:r w:rsidRPr="00C575B9">
              <w:t>0.8989</w:t>
            </w:r>
          </w:p>
        </w:tc>
        <w:tc>
          <w:tcPr>
            <w:tcW w:w="1113" w:type="dxa"/>
          </w:tcPr>
          <w:p w:rsidR="00AD5B00" w:rsidRPr="00C575B9" w:rsidRDefault="00AD5B00" w:rsidP="00094270">
            <w:pPr>
              <w:spacing w:line="298" w:lineRule="auto"/>
              <w:jc w:val="center"/>
            </w:pPr>
            <w:r w:rsidRPr="00C575B9">
              <w:t>0.8531</w:t>
            </w:r>
          </w:p>
        </w:tc>
        <w:tc>
          <w:tcPr>
            <w:tcW w:w="766" w:type="dxa"/>
          </w:tcPr>
          <w:p w:rsidR="00AD5B00" w:rsidRPr="00C575B9" w:rsidRDefault="00AD5B00" w:rsidP="00094270">
            <w:pPr>
              <w:spacing w:line="298" w:lineRule="auto"/>
              <w:jc w:val="center"/>
            </w:pPr>
            <w:r w:rsidRPr="00C575B9">
              <w:t>0.8801</w:t>
            </w:r>
          </w:p>
        </w:tc>
        <w:tc>
          <w:tcPr>
            <w:tcW w:w="766" w:type="dxa"/>
          </w:tcPr>
          <w:p w:rsidR="00AD5B00" w:rsidRPr="00C575B9" w:rsidRDefault="00AD5B00" w:rsidP="00094270">
            <w:pPr>
              <w:spacing w:line="298" w:lineRule="auto"/>
              <w:jc w:val="center"/>
            </w:pPr>
            <w:r w:rsidRPr="00C575B9">
              <w:t>0.8415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Франція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19</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0.8824</w:t>
            </w:r>
          </w:p>
        </w:tc>
        <w:tc>
          <w:tcPr>
            <w:tcW w:w="1113" w:type="dxa"/>
          </w:tcPr>
          <w:p w:rsidR="00AD5B00" w:rsidRPr="00C575B9" w:rsidRDefault="00AD5B00" w:rsidP="00094270">
            <w:pPr>
              <w:spacing w:line="298" w:lineRule="auto"/>
              <w:jc w:val="center"/>
            </w:pPr>
            <w:r w:rsidRPr="00C575B9">
              <w:t>0.8612</w:t>
            </w:r>
          </w:p>
        </w:tc>
        <w:tc>
          <w:tcPr>
            <w:tcW w:w="1113" w:type="dxa"/>
          </w:tcPr>
          <w:p w:rsidR="00AD5B00" w:rsidRPr="00C575B9" w:rsidRDefault="00AD5B00" w:rsidP="00094270">
            <w:pPr>
              <w:spacing w:line="298" w:lineRule="auto"/>
              <w:jc w:val="center"/>
            </w:pPr>
            <w:r w:rsidRPr="00C575B9">
              <w:t>0.8719</w:t>
            </w:r>
          </w:p>
        </w:tc>
        <w:tc>
          <w:tcPr>
            <w:tcW w:w="766" w:type="dxa"/>
          </w:tcPr>
          <w:p w:rsidR="00AD5B00" w:rsidRPr="00C575B9" w:rsidRDefault="00AD5B00" w:rsidP="00094270">
            <w:pPr>
              <w:spacing w:line="298" w:lineRule="auto"/>
              <w:jc w:val="center"/>
            </w:pPr>
            <w:r w:rsidRPr="00C575B9">
              <w:t>08718</w:t>
            </w:r>
          </w:p>
        </w:tc>
        <w:tc>
          <w:tcPr>
            <w:tcW w:w="766" w:type="dxa"/>
          </w:tcPr>
          <w:p w:rsidR="00AD5B00" w:rsidRPr="00C575B9" w:rsidRDefault="00AD5B00" w:rsidP="00094270">
            <w:pPr>
              <w:spacing w:line="298" w:lineRule="auto"/>
              <w:jc w:val="center"/>
            </w:pPr>
            <w:r w:rsidRPr="00C575B9">
              <w:t>0.879</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Литва</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20</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0.8529</w:t>
            </w:r>
          </w:p>
        </w:tc>
        <w:tc>
          <w:tcPr>
            <w:tcW w:w="1113" w:type="dxa"/>
          </w:tcPr>
          <w:p w:rsidR="00AD5B00" w:rsidRPr="00C575B9" w:rsidRDefault="00AD5B00" w:rsidP="00094270">
            <w:pPr>
              <w:spacing w:line="298" w:lineRule="auto"/>
              <w:jc w:val="center"/>
            </w:pPr>
            <w:r w:rsidRPr="00C575B9">
              <w:t>0.9218</w:t>
            </w:r>
          </w:p>
        </w:tc>
        <w:tc>
          <w:tcPr>
            <w:tcW w:w="1113" w:type="dxa"/>
          </w:tcPr>
          <w:p w:rsidR="00AD5B00" w:rsidRPr="00C575B9" w:rsidRDefault="00AD5B00" w:rsidP="00094270">
            <w:pPr>
              <w:spacing w:line="298" w:lineRule="auto"/>
              <w:jc w:val="center"/>
            </w:pPr>
            <w:r w:rsidRPr="00C575B9">
              <w:t>0.8249</w:t>
            </w:r>
          </w:p>
        </w:tc>
        <w:tc>
          <w:tcPr>
            <w:tcW w:w="766" w:type="dxa"/>
          </w:tcPr>
          <w:p w:rsidR="00AD5B00" w:rsidRPr="00C575B9" w:rsidRDefault="00AD5B00" w:rsidP="00094270">
            <w:pPr>
              <w:spacing w:line="298" w:lineRule="auto"/>
              <w:jc w:val="center"/>
            </w:pPr>
            <w:r w:rsidRPr="00C575B9">
              <w:t>0.8665</w:t>
            </w:r>
          </w:p>
        </w:tc>
        <w:tc>
          <w:tcPr>
            <w:tcW w:w="766" w:type="dxa"/>
          </w:tcPr>
          <w:p w:rsidR="00AD5B00" w:rsidRPr="00C575B9" w:rsidRDefault="00AD5B00" w:rsidP="00094270">
            <w:pPr>
              <w:spacing w:line="298" w:lineRule="auto"/>
              <w:jc w:val="center"/>
            </w:pPr>
            <w:r w:rsidRPr="00C575B9">
              <w:t>0.7534</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Мальта</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22</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0.8118</w:t>
            </w:r>
          </w:p>
        </w:tc>
        <w:tc>
          <w:tcPr>
            <w:tcW w:w="1113" w:type="dxa"/>
          </w:tcPr>
          <w:p w:rsidR="00AD5B00" w:rsidRPr="00C575B9" w:rsidRDefault="00AD5B00" w:rsidP="00094270">
            <w:pPr>
              <w:spacing w:line="298" w:lineRule="auto"/>
              <w:jc w:val="center"/>
            </w:pPr>
            <w:r w:rsidRPr="00C575B9">
              <w:t>0.8290</w:t>
            </w:r>
          </w:p>
        </w:tc>
        <w:tc>
          <w:tcPr>
            <w:tcW w:w="1113" w:type="dxa"/>
          </w:tcPr>
          <w:p w:rsidR="00AD5B00" w:rsidRPr="00C575B9" w:rsidRDefault="00AD5B00" w:rsidP="00094270">
            <w:pPr>
              <w:spacing w:line="298" w:lineRule="auto"/>
              <w:jc w:val="center"/>
            </w:pPr>
            <w:r w:rsidRPr="00C575B9">
              <w:t>0.9232</w:t>
            </w:r>
          </w:p>
        </w:tc>
        <w:tc>
          <w:tcPr>
            <w:tcW w:w="766" w:type="dxa"/>
          </w:tcPr>
          <w:p w:rsidR="00AD5B00" w:rsidRPr="00C575B9" w:rsidRDefault="00AD5B00" w:rsidP="00094270">
            <w:pPr>
              <w:spacing w:line="298" w:lineRule="auto"/>
              <w:jc w:val="center"/>
            </w:pPr>
            <w:r w:rsidRPr="00C575B9">
              <w:t>0.8547</w:t>
            </w:r>
          </w:p>
        </w:tc>
        <w:tc>
          <w:tcPr>
            <w:tcW w:w="766" w:type="dxa"/>
          </w:tcPr>
          <w:p w:rsidR="00AD5B00" w:rsidRPr="00C575B9" w:rsidRDefault="00AD5B00" w:rsidP="00094270">
            <w:pPr>
              <w:spacing w:line="298" w:lineRule="auto"/>
              <w:jc w:val="center"/>
            </w:pPr>
            <w:r w:rsidRPr="00C575B9">
              <w:t>0.8011</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Словенія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23</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0.8529</w:t>
            </w:r>
          </w:p>
        </w:tc>
        <w:tc>
          <w:tcPr>
            <w:tcW w:w="1113" w:type="dxa"/>
          </w:tcPr>
          <w:p w:rsidR="00AD5B00" w:rsidRPr="00C575B9" w:rsidRDefault="00AD5B00" w:rsidP="00094270">
            <w:pPr>
              <w:spacing w:line="298" w:lineRule="auto"/>
              <w:jc w:val="center"/>
            </w:pPr>
            <w:r w:rsidRPr="00C575B9">
              <w:t>0.9256</w:t>
            </w:r>
          </w:p>
        </w:tc>
        <w:tc>
          <w:tcPr>
            <w:tcW w:w="1113" w:type="dxa"/>
          </w:tcPr>
          <w:p w:rsidR="00AD5B00" w:rsidRPr="00C575B9" w:rsidRDefault="00AD5B00" w:rsidP="00094270">
            <w:pPr>
              <w:spacing w:line="298" w:lineRule="auto"/>
              <w:jc w:val="center"/>
            </w:pPr>
            <w:r w:rsidRPr="00C575B9">
              <w:t>0.7853</w:t>
            </w:r>
          </w:p>
        </w:tc>
        <w:tc>
          <w:tcPr>
            <w:tcW w:w="766" w:type="dxa"/>
          </w:tcPr>
          <w:p w:rsidR="00AD5B00" w:rsidRPr="00C575B9" w:rsidRDefault="00AD5B00" w:rsidP="00094270">
            <w:pPr>
              <w:spacing w:line="298" w:lineRule="auto"/>
              <w:jc w:val="center"/>
            </w:pPr>
            <w:r w:rsidRPr="00C575B9">
              <w:t>0.8546</w:t>
            </w:r>
          </w:p>
        </w:tc>
        <w:tc>
          <w:tcPr>
            <w:tcW w:w="766" w:type="dxa"/>
          </w:tcPr>
          <w:p w:rsidR="00AD5B00" w:rsidRPr="00C575B9" w:rsidRDefault="00AD5B00" w:rsidP="00094270">
            <w:pPr>
              <w:spacing w:line="298" w:lineRule="auto"/>
              <w:jc w:val="center"/>
            </w:pPr>
            <w:r w:rsidRPr="00C575B9">
              <w:t>0.7714</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Польща</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24</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0.8588</w:t>
            </w:r>
          </w:p>
        </w:tc>
        <w:tc>
          <w:tcPr>
            <w:tcW w:w="1113" w:type="dxa"/>
          </w:tcPr>
          <w:p w:rsidR="00AD5B00" w:rsidRPr="00C575B9" w:rsidRDefault="00AD5B00" w:rsidP="00094270">
            <w:pPr>
              <w:spacing w:line="298" w:lineRule="auto"/>
              <w:jc w:val="center"/>
            </w:pPr>
            <w:r w:rsidRPr="00C575B9">
              <w:t>0.9001</w:t>
            </w:r>
          </w:p>
        </w:tc>
        <w:tc>
          <w:tcPr>
            <w:tcW w:w="1113" w:type="dxa"/>
          </w:tcPr>
          <w:p w:rsidR="00AD5B00" w:rsidRPr="00C575B9" w:rsidRDefault="00AD5B00" w:rsidP="00094270">
            <w:pPr>
              <w:spacing w:line="298" w:lineRule="auto"/>
              <w:jc w:val="center"/>
            </w:pPr>
            <w:r w:rsidRPr="00C575B9">
              <w:t>0.8005</w:t>
            </w:r>
          </w:p>
        </w:tc>
        <w:tc>
          <w:tcPr>
            <w:tcW w:w="766" w:type="dxa"/>
          </w:tcPr>
          <w:p w:rsidR="00AD5B00" w:rsidRPr="00C575B9" w:rsidRDefault="00AD5B00" w:rsidP="00094270">
            <w:pPr>
              <w:spacing w:line="298" w:lineRule="auto"/>
              <w:jc w:val="center"/>
            </w:pPr>
            <w:r w:rsidRPr="00C575B9">
              <w:t>0.8531</w:t>
            </w:r>
          </w:p>
        </w:tc>
        <w:tc>
          <w:tcPr>
            <w:tcW w:w="766" w:type="dxa"/>
          </w:tcPr>
          <w:p w:rsidR="00AD5B00" w:rsidRPr="00C575B9" w:rsidRDefault="00AD5B00" w:rsidP="00094270">
            <w:pPr>
              <w:spacing w:line="298" w:lineRule="auto"/>
              <w:jc w:val="center"/>
            </w:pPr>
            <w:r w:rsidRPr="00C575B9">
              <w:t>0.7926</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Німеччина</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25</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0.7353</w:t>
            </w:r>
          </w:p>
        </w:tc>
        <w:tc>
          <w:tcPr>
            <w:tcW w:w="1113" w:type="dxa"/>
          </w:tcPr>
          <w:p w:rsidR="00AD5B00" w:rsidRPr="00C575B9" w:rsidRDefault="00AD5B00" w:rsidP="00094270">
            <w:pPr>
              <w:spacing w:line="298" w:lineRule="auto"/>
              <w:jc w:val="center"/>
            </w:pPr>
            <w:r w:rsidRPr="00C575B9">
              <w:t>0.9362</w:t>
            </w:r>
          </w:p>
        </w:tc>
        <w:tc>
          <w:tcPr>
            <w:tcW w:w="1113" w:type="dxa"/>
          </w:tcPr>
          <w:p w:rsidR="00AD5B00" w:rsidRPr="00C575B9" w:rsidRDefault="00AD5B00" w:rsidP="00094270">
            <w:pPr>
              <w:spacing w:line="298" w:lineRule="auto"/>
              <w:jc w:val="center"/>
            </w:pPr>
            <w:r w:rsidRPr="00C575B9">
              <w:t>0.8856</w:t>
            </w:r>
          </w:p>
        </w:tc>
        <w:tc>
          <w:tcPr>
            <w:tcW w:w="766" w:type="dxa"/>
          </w:tcPr>
          <w:p w:rsidR="00AD5B00" w:rsidRPr="00C575B9" w:rsidRDefault="00AD5B00" w:rsidP="00094270">
            <w:pPr>
              <w:spacing w:line="298" w:lineRule="auto"/>
              <w:jc w:val="center"/>
            </w:pPr>
            <w:r w:rsidRPr="00C575B9">
              <w:t>0.8524</w:t>
            </w:r>
          </w:p>
        </w:tc>
        <w:tc>
          <w:tcPr>
            <w:tcW w:w="766" w:type="dxa"/>
          </w:tcPr>
          <w:p w:rsidR="00AD5B00" w:rsidRPr="00C575B9" w:rsidRDefault="00AD5B00" w:rsidP="00094270">
            <w:pPr>
              <w:spacing w:line="298" w:lineRule="auto"/>
              <w:jc w:val="center"/>
            </w:pPr>
            <w:r w:rsidRPr="00C575B9">
              <w:t>0.8765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Ірландія</w:t>
            </w:r>
          </w:p>
        </w:tc>
        <w:tc>
          <w:tcPr>
            <w:tcW w:w="833" w:type="dxa"/>
          </w:tcPr>
          <w:p w:rsidR="00AD5B00" w:rsidRPr="00C575B9" w:rsidRDefault="00AD5B00" w:rsidP="00094270">
            <w:pPr>
              <w:spacing w:line="298" w:lineRule="auto"/>
              <w:jc w:val="center"/>
            </w:pPr>
            <w:r w:rsidRPr="00C575B9">
              <w:t>V3</w:t>
            </w:r>
          </w:p>
        </w:tc>
        <w:tc>
          <w:tcPr>
            <w:tcW w:w="947" w:type="dxa"/>
          </w:tcPr>
          <w:p w:rsidR="00AD5B00" w:rsidRPr="00C575B9" w:rsidRDefault="00AD5B00" w:rsidP="00094270">
            <w:pPr>
              <w:spacing w:line="298" w:lineRule="auto"/>
              <w:jc w:val="center"/>
            </w:pPr>
            <w:r w:rsidRPr="00C575B9">
              <w:t>27</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0.7706</w:t>
            </w:r>
          </w:p>
        </w:tc>
        <w:tc>
          <w:tcPr>
            <w:tcW w:w="1113" w:type="dxa"/>
          </w:tcPr>
          <w:p w:rsidR="00AD5B00" w:rsidRPr="00C575B9" w:rsidRDefault="00AD5B00" w:rsidP="00094270">
            <w:pPr>
              <w:spacing w:line="298" w:lineRule="auto"/>
              <w:jc w:val="center"/>
            </w:pPr>
            <w:r w:rsidRPr="00C575B9">
              <w:t>0.9494</w:t>
            </w:r>
          </w:p>
        </w:tc>
        <w:tc>
          <w:tcPr>
            <w:tcW w:w="1113" w:type="dxa"/>
          </w:tcPr>
          <w:p w:rsidR="00AD5B00" w:rsidRPr="00C575B9" w:rsidRDefault="00AD5B00" w:rsidP="00094270">
            <w:pPr>
              <w:spacing w:line="298" w:lineRule="auto"/>
              <w:jc w:val="center"/>
            </w:pPr>
            <w:r w:rsidRPr="00C575B9">
              <w:t>0.8100</w:t>
            </w:r>
          </w:p>
        </w:tc>
        <w:tc>
          <w:tcPr>
            <w:tcW w:w="766" w:type="dxa"/>
          </w:tcPr>
          <w:p w:rsidR="00AD5B00" w:rsidRPr="00C575B9" w:rsidRDefault="00AD5B00" w:rsidP="00094270">
            <w:pPr>
              <w:spacing w:line="298" w:lineRule="auto"/>
              <w:jc w:val="center"/>
            </w:pPr>
            <w:r w:rsidRPr="00C575B9">
              <w:t>0.8433</w:t>
            </w:r>
          </w:p>
        </w:tc>
        <w:tc>
          <w:tcPr>
            <w:tcW w:w="766" w:type="dxa"/>
          </w:tcPr>
          <w:p w:rsidR="00AD5B00" w:rsidRPr="00C575B9" w:rsidRDefault="00AD5B00" w:rsidP="00094270">
            <w:pPr>
              <w:spacing w:line="298" w:lineRule="auto"/>
              <w:jc w:val="center"/>
            </w:pPr>
            <w:r w:rsidRPr="00C575B9">
              <w:t>0.8287</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lastRenderedPageBreak/>
              <w:t>Ліхтенштейн</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31</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0.6588</w:t>
            </w:r>
          </w:p>
        </w:tc>
        <w:tc>
          <w:tcPr>
            <w:tcW w:w="1113" w:type="dxa"/>
          </w:tcPr>
          <w:p w:rsidR="00AD5B00" w:rsidRPr="00C575B9" w:rsidRDefault="00AD5B00" w:rsidP="00094270">
            <w:pPr>
              <w:spacing w:line="298" w:lineRule="auto"/>
              <w:jc w:val="center"/>
            </w:pPr>
            <w:r w:rsidRPr="00C575B9">
              <w:t>0.8489</w:t>
            </w:r>
          </w:p>
        </w:tc>
        <w:tc>
          <w:tcPr>
            <w:tcW w:w="1113" w:type="dxa"/>
          </w:tcPr>
          <w:p w:rsidR="00AD5B00" w:rsidRPr="00C575B9" w:rsidRDefault="00AD5B00" w:rsidP="00094270">
            <w:pPr>
              <w:spacing w:line="298" w:lineRule="auto"/>
              <w:jc w:val="center"/>
            </w:pPr>
            <w:r w:rsidRPr="00C575B9">
              <w:t>1.0000</w:t>
            </w:r>
          </w:p>
        </w:tc>
        <w:tc>
          <w:tcPr>
            <w:tcW w:w="766" w:type="dxa"/>
          </w:tcPr>
          <w:p w:rsidR="00AD5B00" w:rsidRPr="00C575B9" w:rsidRDefault="00AD5B00" w:rsidP="00094270">
            <w:pPr>
              <w:spacing w:line="298" w:lineRule="auto"/>
              <w:jc w:val="center"/>
            </w:pPr>
            <w:r w:rsidRPr="00C575B9">
              <w:t>0.8359</w:t>
            </w:r>
          </w:p>
        </w:tc>
        <w:tc>
          <w:tcPr>
            <w:tcW w:w="766" w:type="dxa"/>
          </w:tcPr>
          <w:p w:rsidR="00AD5B00" w:rsidRPr="00C575B9" w:rsidRDefault="00AD5B00" w:rsidP="00094270">
            <w:pPr>
              <w:spacing w:line="298" w:lineRule="auto"/>
              <w:jc w:val="center"/>
            </w:pPr>
            <w:r w:rsidRPr="00C575B9">
              <w:t>0.8204</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Люксембург</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33</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0.7647</w:t>
            </w:r>
          </w:p>
        </w:tc>
        <w:tc>
          <w:tcPr>
            <w:tcW w:w="1113" w:type="dxa"/>
          </w:tcPr>
          <w:p w:rsidR="00AD5B00" w:rsidRPr="00C575B9" w:rsidRDefault="00AD5B00" w:rsidP="00094270">
            <w:pPr>
              <w:spacing w:line="298" w:lineRule="auto"/>
              <w:jc w:val="center"/>
            </w:pPr>
            <w:r w:rsidRPr="00C575B9">
              <w:t>0.8097</w:t>
            </w:r>
          </w:p>
        </w:tc>
        <w:tc>
          <w:tcPr>
            <w:tcW w:w="1113" w:type="dxa"/>
          </w:tcPr>
          <w:p w:rsidR="00AD5B00" w:rsidRPr="00C575B9" w:rsidRDefault="00AD5B00" w:rsidP="00094270">
            <w:pPr>
              <w:spacing w:line="298" w:lineRule="auto"/>
              <w:jc w:val="center"/>
            </w:pPr>
            <w:r w:rsidRPr="00C575B9">
              <w:t>0.9072</w:t>
            </w:r>
          </w:p>
        </w:tc>
        <w:tc>
          <w:tcPr>
            <w:tcW w:w="766" w:type="dxa"/>
          </w:tcPr>
          <w:p w:rsidR="00AD5B00" w:rsidRPr="00C575B9" w:rsidRDefault="00AD5B00" w:rsidP="00094270">
            <w:pPr>
              <w:spacing w:line="298" w:lineRule="auto"/>
              <w:jc w:val="center"/>
            </w:pPr>
            <w:r w:rsidRPr="00C575B9">
              <w:t>0.8272</w:t>
            </w:r>
          </w:p>
        </w:tc>
        <w:tc>
          <w:tcPr>
            <w:tcW w:w="766" w:type="dxa"/>
          </w:tcPr>
          <w:p w:rsidR="00AD5B00" w:rsidRPr="00C575B9" w:rsidRDefault="00AD5B00" w:rsidP="00094270">
            <w:pPr>
              <w:spacing w:line="298" w:lineRule="auto"/>
              <w:jc w:val="center"/>
            </w:pPr>
            <w:r w:rsidRPr="00C575B9">
              <w:t>0.8334</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Португалія</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35</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0.8353</w:t>
            </w:r>
          </w:p>
        </w:tc>
        <w:tc>
          <w:tcPr>
            <w:tcW w:w="1113" w:type="dxa"/>
          </w:tcPr>
          <w:p w:rsidR="00AD5B00" w:rsidRPr="00C575B9" w:rsidRDefault="00AD5B00" w:rsidP="00094270">
            <w:pPr>
              <w:spacing w:line="298" w:lineRule="auto"/>
              <w:jc w:val="center"/>
            </w:pPr>
            <w:r w:rsidRPr="00C575B9">
              <w:t>0.8463</w:t>
            </w:r>
          </w:p>
        </w:tc>
        <w:tc>
          <w:tcPr>
            <w:tcW w:w="1113" w:type="dxa"/>
          </w:tcPr>
          <w:p w:rsidR="00AD5B00" w:rsidRPr="00C575B9" w:rsidRDefault="00AD5B00" w:rsidP="00094270">
            <w:pPr>
              <w:spacing w:line="298" w:lineRule="auto"/>
              <w:jc w:val="center"/>
            </w:pPr>
            <w:r w:rsidRPr="00C575B9">
              <w:t>0.7948</w:t>
            </w:r>
          </w:p>
        </w:tc>
        <w:tc>
          <w:tcPr>
            <w:tcW w:w="766" w:type="dxa"/>
          </w:tcPr>
          <w:p w:rsidR="00AD5B00" w:rsidRPr="00C575B9" w:rsidRDefault="00AD5B00" w:rsidP="00094270">
            <w:pPr>
              <w:spacing w:line="298" w:lineRule="auto"/>
              <w:jc w:val="center"/>
            </w:pPr>
            <w:r w:rsidRPr="00C575B9">
              <w:t>0.8255</w:t>
            </w:r>
          </w:p>
        </w:tc>
        <w:tc>
          <w:tcPr>
            <w:tcW w:w="766" w:type="dxa"/>
          </w:tcPr>
          <w:p w:rsidR="00AD5B00" w:rsidRPr="00C575B9" w:rsidRDefault="00AD5B00" w:rsidP="00094270">
            <w:pPr>
              <w:spacing w:line="298" w:lineRule="auto"/>
              <w:jc w:val="center"/>
            </w:pPr>
            <w:r w:rsidRPr="00C575B9">
              <w:t>0.8031</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Російська Федерація</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36</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0.8176</w:t>
            </w:r>
          </w:p>
        </w:tc>
        <w:tc>
          <w:tcPr>
            <w:tcW w:w="1113" w:type="dxa"/>
          </w:tcPr>
          <w:p w:rsidR="00AD5B00" w:rsidRPr="00C575B9" w:rsidRDefault="00AD5B00" w:rsidP="00094270">
            <w:pPr>
              <w:spacing w:line="298" w:lineRule="auto"/>
              <w:jc w:val="center"/>
            </w:pPr>
            <w:r w:rsidRPr="00C575B9">
              <w:t>0.8833</w:t>
            </w:r>
          </w:p>
        </w:tc>
        <w:tc>
          <w:tcPr>
            <w:tcW w:w="1113" w:type="dxa"/>
          </w:tcPr>
          <w:p w:rsidR="00AD5B00" w:rsidRPr="00C575B9" w:rsidRDefault="00AD5B00" w:rsidP="00094270">
            <w:pPr>
              <w:spacing w:line="298" w:lineRule="auto"/>
              <w:jc w:val="center"/>
            </w:pPr>
            <w:r w:rsidRPr="00C575B9">
              <w:t>0.7723</w:t>
            </w:r>
          </w:p>
        </w:tc>
        <w:tc>
          <w:tcPr>
            <w:tcW w:w="766" w:type="dxa"/>
          </w:tcPr>
          <w:p w:rsidR="00AD5B00" w:rsidRPr="00C575B9" w:rsidRDefault="00AD5B00" w:rsidP="00094270">
            <w:pPr>
              <w:spacing w:line="298" w:lineRule="auto"/>
              <w:jc w:val="center"/>
            </w:pPr>
            <w:r w:rsidRPr="00C575B9">
              <w:t>0.8244</w:t>
            </w:r>
          </w:p>
        </w:tc>
        <w:tc>
          <w:tcPr>
            <w:tcW w:w="766" w:type="dxa"/>
          </w:tcPr>
          <w:p w:rsidR="00AD5B00" w:rsidRPr="00C575B9" w:rsidRDefault="00AD5B00" w:rsidP="00094270">
            <w:pPr>
              <w:spacing w:line="298" w:lineRule="auto"/>
              <w:jc w:val="center"/>
            </w:pPr>
            <w:r w:rsidRPr="00C575B9">
              <w:t>0.7969</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Італія</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37</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0.8294</w:t>
            </w:r>
          </w:p>
        </w:tc>
        <w:tc>
          <w:tcPr>
            <w:tcW w:w="1113" w:type="dxa"/>
          </w:tcPr>
          <w:p w:rsidR="00AD5B00" w:rsidRPr="00C575B9" w:rsidRDefault="00AD5B00" w:rsidP="00094270">
            <w:pPr>
              <w:spacing w:line="298" w:lineRule="auto"/>
              <w:jc w:val="center"/>
            </w:pPr>
            <w:r w:rsidRPr="00C575B9">
              <w:t>0.8466</w:t>
            </w:r>
          </w:p>
        </w:tc>
        <w:tc>
          <w:tcPr>
            <w:tcW w:w="1113" w:type="dxa"/>
          </w:tcPr>
          <w:p w:rsidR="00AD5B00" w:rsidRPr="00C575B9" w:rsidRDefault="00AD5B00" w:rsidP="00094270">
            <w:pPr>
              <w:spacing w:line="298" w:lineRule="auto"/>
              <w:jc w:val="center"/>
            </w:pPr>
            <w:r w:rsidRPr="00C575B9">
              <w:t>0.7932</w:t>
            </w:r>
          </w:p>
        </w:tc>
        <w:tc>
          <w:tcPr>
            <w:tcW w:w="766" w:type="dxa"/>
          </w:tcPr>
          <w:p w:rsidR="00AD5B00" w:rsidRPr="00C575B9" w:rsidRDefault="00AD5B00" w:rsidP="00094270">
            <w:pPr>
              <w:spacing w:line="298" w:lineRule="auto"/>
              <w:jc w:val="center"/>
            </w:pPr>
            <w:r w:rsidRPr="00C575B9">
              <w:t>0.8231</w:t>
            </w:r>
          </w:p>
        </w:tc>
        <w:tc>
          <w:tcPr>
            <w:tcW w:w="766" w:type="dxa"/>
          </w:tcPr>
          <w:p w:rsidR="00AD5B00" w:rsidRPr="00C575B9" w:rsidRDefault="00AD5B00" w:rsidP="00094270">
            <w:pPr>
              <w:spacing w:line="298" w:lineRule="auto"/>
              <w:jc w:val="center"/>
            </w:pPr>
            <w:r w:rsidRPr="00C575B9">
              <w:t>0.8209</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Чеська Республіка</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39</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0.7235</w:t>
            </w:r>
          </w:p>
        </w:tc>
        <w:tc>
          <w:tcPr>
            <w:tcW w:w="1113" w:type="dxa"/>
          </w:tcPr>
          <w:p w:rsidR="00AD5B00" w:rsidRPr="00C575B9" w:rsidRDefault="00AD5B00" w:rsidP="00094270">
            <w:pPr>
              <w:spacing w:line="298" w:lineRule="auto"/>
              <w:jc w:val="center"/>
            </w:pPr>
            <w:r w:rsidRPr="00C575B9">
              <w:t>0.9030</w:t>
            </w:r>
          </w:p>
        </w:tc>
        <w:tc>
          <w:tcPr>
            <w:tcW w:w="1113" w:type="dxa"/>
          </w:tcPr>
          <w:p w:rsidR="00AD5B00" w:rsidRPr="00C575B9" w:rsidRDefault="00AD5B00" w:rsidP="00094270">
            <w:pPr>
              <w:spacing w:line="298" w:lineRule="auto"/>
              <w:jc w:val="center"/>
            </w:pPr>
            <w:r w:rsidRPr="00C575B9">
              <w:t>0.8140</w:t>
            </w:r>
          </w:p>
        </w:tc>
        <w:tc>
          <w:tcPr>
            <w:tcW w:w="766" w:type="dxa"/>
          </w:tcPr>
          <w:p w:rsidR="00AD5B00" w:rsidRPr="00C575B9" w:rsidRDefault="00AD5B00" w:rsidP="00094270">
            <w:pPr>
              <w:spacing w:line="298" w:lineRule="auto"/>
              <w:jc w:val="center"/>
            </w:pPr>
            <w:r w:rsidRPr="00C575B9">
              <w:t>0.8135</w:t>
            </w:r>
          </w:p>
        </w:tc>
        <w:tc>
          <w:tcPr>
            <w:tcW w:w="766" w:type="dxa"/>
          </w:tcPr>
          <w:p w:rsidR="00AD5B00" w:rsidRPr="00C575B9" w:rsidRDefault="00AD5B00" w:rsidP="00094270">
            <w:pPr>
              <w:spacing w:line="298" w:lineRule="auto"/>
              <w:jc w:val="center"/>
            </w:pPr>
            <w:r w:rsidRPr="00C575B9">
              <w:t>0.7084</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Білорусь</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40</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Ні</w:t>
            </w:r>
          </w:p>
        </w:tc>
        <w:tc>
          <w:tcPr>
            <w:tcW w:w="1113" w:type="dxa"/>
          </w:tcPr>
          <w:p w:rsidR="00AD5B00" w:rsidRPr="00C575B9" w:rsidRDefault="00AD5B00" w:rsidP="00094270">
            <w:pPr>
              <w:spacing w:line="298" w:lineRule="auto"/>
              <w:jc w:val="center"/>
            </w:pPr>
            <w:r w:rsidRPr="00C575B9">
              <w:t>0.7079</w:t>
            </w:r>
          </w:p>
        </w:tc>
        <w:tc>
          <w:tcPr>
            <w:tcW w:w="1113" w:type="dxa"/>
          </w:tcPr>
          <w:p w:rsidR="00AD5B00" w:rsidRPr="00C575B9" w:rsidRDefault="00AD5B00" w:rsidP="00094270">
            <w:pPr>
              <w:spacing w:line="298" w:lineRule="auto"/>
              <w:jc w:val="center"/>
            </w:pPr>
            <w:r w:rsidRPr="00C575B9">
              <w:t>0.8912</w:t>
            </w:r>
          </w:p>
        </w:tc>
        <w:tc>
          <w:tcPr>
            <w:tcW w:w="1113" w:type="dxa"/>
          </w:tcPr>
          <w:p w:rsidR="00AD5B00" w:rsidRPr="00C575B9" w:rsidRDefault="00AD5B00" w:rsidP="00094270">
            <w:pPr>
              <w:spacing w:line="298" w:lineRule="auto"/>
              <w:jc w:val="center"/>
            </w:pPr>
            <w:r w:rsidRPr="00C575B9">
              <w:t>0.8281</w:t>
            </w:r>
          </w:p>
        </w:tc>
        <w:tc>
          <w:tcPr>
            <w:tcW w:w="766" w:type="dxa"/>
          </w:tcPr>
          <w:p w:rsidR="00AD5B00" w:rsidRPr="00C575B9" w:rsidRDefault="00AD5B00" w:rsidP="00094270">
            <w:pPr>
              <w:spacing w:line="298" w:lineRule="auto"/>
              <w:jc w:val="center"/>
            </w:pPr>
            <w:r w:rsidRPr="00C575B9">
              <w:t>0.8084</w:t>
            </w:r>
          </w:p>
        </w:tc>
        <w:tc>
          <w:tcPr>
            <w:tcW w:w="766" w:type="dxa"/>
          </w:tcPr>
          <w:p w:rsidR="00AD5B00" w:rsidRPr="00C575B9" w:rsidRDefault="00AD5B00" w:rsidP="00094270">
            <w:pPr>
              <w:spacing w:line="298" w:lineRule="auto"/>
              <w:jc w:val="center"/>
            </w:pPr>
            <w:r w:rsidRPr="00C575B9">
              <w:t>0.7641</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Бельгія</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41</w:t>
            </w:r>
          </w:p>
        </w:tc>
        <w:tc>
          <w:tcPr>
            <w:tcW w:w="1123" w:type="dxa"/>
          </w:tcPr>
          <w:p w:rsidR="00AD5B00" w:rsidRPr="00C575B9" w:rsidRDefault="00AD5B00" w:rsidP="00094270">
            <w:pPr>
              <w:spacing w:line="298" w:lineRule="auto"/>
              <w:jc w:val="center"/>
            </w:pPr>
            <w:r w:rsidRPr="00C575B9">
              <w:t>Західна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0.6588</w:t>
            </w:r>
          </w:p>
        </w:tc>
        <w:tc>
          <w:tcPr>
            <w:tcW w:w="1113" w:type="dxa"/>
          </w:tcPr>
          <w:p w:rsidR="00AD5B00" w:rsidRPr="00C575B9" w:rsidRDefault="00AD5B00" w:rsidP="00094270">
            <w:pPr>
              <w:spacing w:line="298" w:lineRule="auto"/>
              <w:jc w:val="center"/>
            </w:pPr>
            <w:r w:rsidRPr="00C575B9">
              <w:t>0.9521</w:t>
            </w:r>
          </w:p>
        </w:tc>
        <w:tc>
          <w:tcPr>
            <w:tcW w:w="1113" w:type="dxa"/>
          </w:tcPr>
          <w:p w:rsidR="00AD5B00" w:rsidRPr="00C575B9" w:rsidRDefault="00AD5B00" w:rsidP="00094270">
            <w:pPr>
              <w:spacing w:line="298" w:lineRule="auto"/>
              <w:jc w:val="center"/>
            </w:pPr>
            <w:r w:rsidRPr="00C575B9">
              <w:t>0.8033</w:t>
            </w:r>
          </w:p>
        </w:tc>
        <w:tc>
          <w:tcPr>
            <w:tcW w:w="766" w:type="dxa"/>
          </w:tcPr>
          <w:p w:rsidR="00AD5B00" w:rsidRPr="00C575B9" w:rsidRDefault="00AD5B00" w:rsidP="00094270">
            <w:pPr>
              <w:spacing w:line="298" w:lineRule="auto"/>
              <w:jc w:val="center"/>
            </w:pPr>
            <w:r w:rsidRPr="00C575B9">
              <w:t>0.8047</w:t>
            </w:r>
          </w:p>
        </w:tc>
        <w:tc>
          <w:tcPr>
            <w:tcW w:w="766" w:type="dxa"/>
          </w:tcPr>
          <w:p w:rsidR="00AD5B00" w:rsidRPr="00C575B9" w:rsidRDefault="00AD5B00" w:rsidP="00094270">
            <w:pPr>
              <w:spacing w:line="298" w:lineRule="auto"/>
              <w:jc w:val="center"/>
            </w:pPr>
            <w:r w:rsidRPr="00C575B9">
              <w:t>0.808</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Греція</w:t>
            </w:r>
          </w:p>
        </w:tc>
        <w:tc>
          <w:tcPr>
            <w:tcW w:w="833" w:type="dxa"/>
          </w:tcPr>
          <w:p w:rsidR="00AD5B00" w:rsidRPr="00C575B9" w:rsidRDefault="00AD5B00" w:rsidP="00094270">
            <w:pPr>
              <w:spacing w:line="298" w:lineRule="auto"/>
              <w:jc w:val="center"/>
            </w:pPr>
            <w:r w:rsidRPr="00C575B9">
              <w:t>V2</w:t>
            </w:r>
          </w:p>
        </w:tc>
        <w:tc>
          <w:tcPr>
            <w:tcW w:w="947" w:type="dxa"/>
          </w:tcPr>
          <w:p w:rsidR="00AD5B00" w:rsidRPr="00C575B9" w:rsidRDefault="00AD5B00" w:rsidP="00094270">
            <w:pPr>
              <w:spacing w:line="298" w:lineRule="auto"/>
              <w:jc w:val="center"/>
            </w:pPr>
            <w:r w:rsidRPr="00C575B9">
              <w:t>42</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0.7059</w:t>
            </w:r>
          </w:p>
        </w:tc>
        <w:tc>
          <w:tcPr>
            <w:tcW w:w="1113" w:type="dxa"/>
          </w:tcPr>
          <w:p w:rsidR="00AD5B00" w:rsidRPr="00C575B9" w:rsidRDefault="00AD5B00" w:rsidP="00094270">
            <w:pPr>
              <w:spacing w:line="298" w:lineRule="auto"/>
              <w:jc w:val="center"/>
            </w:pPr>
            <w:r w:rsidRPr="00C575B9">
              <w:t>0.8905</w:t>
            </w:r>
          </w:p>
        </w:tc>
        <w:tc>
          <w:tcPr>
            <w:tcW w:w="1113" w:type="dxa"/>
          </w:tcPr>
          <w:p w:rsidR="00AD5B00" w:rsidRPr="00C575B9" w:rsidRDefault="00AD5B00" w:rsidP="00094270">
            <w:pPr>
              <w:spacing w:line="298" w:lineRule="auto"/>
              <w:jc w:val="center"/>
            </w:pPr>
            <w:r w:rsidRPr="00C575B9">
              <w:t>0.8100</w:t>
            </w:r>
          </w:p>
        </w:tc>
        <w:tc>
          <w:tcPr>
            <w:tcW w:w="766" w:type="dxa"/>
          </w:tcPr>
          <w:p w:rsidR="00AD5B00" w:rsidRPr="00C575B9" w:rsidRDefault="00AD5B00" w:rsidP="00094270">
            <w:pPr>
              <w:spacing w:line="298" w:lineRule="auto"/>
              <w:jc w:val="center"/>
            </w:pPr>
            <w:r w:rsidRPr="00C575B9">
              <w:t>0.8021</w:t>
            </w:r>
          </w:p>
        </w:tc>
        <w:tc>
          <w:tcPr>
            <w:tcW w:w="766" w:type="dxa"/>
          </w:tcPr>
          <w:p w:rsidR="00AD5B00" w:rsidRPr="00C575B9" w:rsidRDefault="00AD5B00" w:rsidP="00094270">
            <w:pPr>
              <w:spacing w:line="298" w:lineRule="auto"/>
              <w:jc w:val="center"/>
            </w:pPr>
            <w:r w:rsidRPr="00C575B9">
              <w:t>0.7833</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Болгарія</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44</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0.7706</w:t>
            </w:r>
          </w:p>
        </w:tc>
        <w:tc>
          <w:tcPr>
            <w:tcW w:w="1113" w:type="dxa"/>
          </w:tcPr>
          <w:p w:rsidR="00AD5B00" w:rsidRPr="00C575B9" w:rsidRDefault="00AD5B00" w:rsidP="00094270">
            <w:pPr>
              <w:spacing w:line="298" w:lineRule="auto"/>
              <w:jc w:val="center"/>
            </w:pPr>
            <w:r w:rsidRPr="00C575B9">
              <w:t>0.8408</w:t>
            </w:r>
          </w:p>
        </w:tc>
        <w:tc>
          <w:tcPr>
            <w:tcW w:w="1113" w:type="dxa"/>
          </w:tcPr>
          <w:p w:rsidR="00AD5B00" w:rsidRPr="00C575B9" w:rsidRDefault="00AD5B00" w:rsidP="00094270">
            <w:pPr>
              <w:spacing w:line="298" w:lineRule="auto"/>
              <w:jc w:val="center"/>
            </w:pPr>
            <w:r w:rsidRPr="00C575B9">
              <w:t>0.7826</w:t>
            </w:r>
          </w:p>
        </w:tc>
        <w:tc>
          <w:tcPr>
            <w:tcW w:w="766" w:type="dxa"/>
          </w:tcPr>
          <w:p w:rsidR="00AD5B00" w:rsidRPr="00C575B9" w:rsidRDefault="00AD5B00" w:rsidP="00094270">
            <w:pPr>
              <w:spacing w:line="298" w:lineRule="auto"/>
              <w:jc w:val="center"/>
            </w:pPr>
            <w:r w:rsidRPr="00C575B9">
              <w:t>0.7980</w:t>
            </w:r>
          </w:p>
        </w:tc>
        <w:tc>
          <w:tcPr>
            <w:tcW w:w="766" w:type="dxa"/>
          </w:tcPr>
          <w:p w:rsidR="00AD5B00" w:rsidRPr="00C575B9" w:rsidRDefault="00AD5B00" w:rsidP="00094270">
            <w:pPr>
              <w:spacing w:line="298" w:lineRule="auto"/>
              <w:jc w:val="center"/>
            </w:pPr>
            <w:r w:rsidRPr="00C575B9">
              <w:t>0.7177</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Словаччина</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48</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0.7176</w:t>
            </w:r>
          </w:p>
        </w:tc>
        <w:tc>
          <w:tcPr>
            <w:tcW w:w="1113" w:type="dxa"/>
          </w:tcPr>
          <w:p w:rsidR="00AD5B00" w:rsidRPr="00C575B9" w:rsidRDefault="00AD5B00" w:rsidP="00094270">
            <w:pPr>
              <w:spacing w:line="298" w:lineRule="auto"/>
              <w:jc w:val="center"/>
            </w:pPr>
            <w:r w:rsidRPr="00C575B9">
              <w:t>0.8286</w:t>
            </w:r>
          </w:p>
        </w:tc>
        <w:tc>
          <w:tcPr>
            <w:tcW w:w="1113" w:type="dxa"/>
          </w:tcPr>
          <w:p w:rsidR="00AD5B00" w:rsidRPr="00C575B9" w:rsidRDefault="00AD5B00" w:rsidP="00094270">
            <w:pPr>
              <w:spacing w:line="298" w:lineRule="auto"/>
              <w:jc w:val="center"/>
            </w:pPr>
            <w:r w:rsidRPr="00C575B9">
              <w:t>0.7988</w:t>
            </w:r>
          </w:p>
        </w:tc>
        <w:tc>
          <w:tcPr>
            <w:tcW w:w="766" w:type="dxa"/>
          </w:tcPr>
          <w:p w:rsidR="00AD5B00" w:rsidRPr="00C575B9" w:rsidRDefault="00AD5B00" w:rsidP="00094270">
            <w:pPr>
              <w:spacing w:line="298" w:lineRule="auto"/>
              <w:jc w:val="center"/>
            </w:pPr>
            <w:r w:rsidRPr="00C575B9">
              <w:t>0.7817</w:t>
            </w:r>
          </w:p>
        </w:tc>
        <w:tc>
          <w:tcPr>
            <w:tcW w:w="766" w:type="dxa"/>
          </w:tcPr>
          <w:p w:rsidR="00AD5B00" w:rsidRPr="00C575B9" w:rsidRDefault="00AD5B00" w:rsidP="00094270">
            <w:pPr>
              <w:spacing w:line="298" w:lineRule="auto"/>
              <w:jc w:val="center"/>
            </w:pPr>
            <w:r w:rsidRPr="00C575B9">
              <w:t>0.7155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Латвія</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49</w:t>
            </w:r>
          </w:p>
        </w:tc>
        <w:tc>
          <w:tcPr>
            <w:tcW w:w="1123" w:type="dxa"/>
          </w:tcPr>
          <w:p w:rsidR="00AD5B00" w:rsidRPr="00C575B9" w:rsidRDefault="00AD5B00" w:rsidP="00094270">
            <w:pPr>
              <w:spacing w:line="298" w:lineRule="auto"/>
              <w:jc w:val="center"/>
            </w:pPr>
            <w:r w:rsidRPr="00C575B9">
              <w:t>Північна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0.5824</w:t>
            </w:r>
          </w:p>
        </w:tc>
        <w:tc>
          <w:tcPr>
            <w:tcW w:w="1113" w:type="dxa"/>
          </w:tcPr>
          <w:p w:rsidR="00AD5B00" w:rsidRPr="00C575B9" w:rsidRDefault="00AD5B00" w:rsidP="00094270">
            <w:pPr>
              <w:spacing w:line="298" w:lineRule="auto"/>
              <w:jc w:val="center"/>
            </w:pPr>
            <w:r w:rsidRPr="00C575B9">
              <w:t>0.9172</w:t>
            </w:r>
          </w:p>
        </w:tc>
        <w:tc>
          <w:tcPr>
            <w:tcW w:w="1113" w:type="dxa"/>
          </w:tcPr>
          <w:p w:rsidR="00AD5B00" w:rsidRPr="00C575B9" w:rsidRDefault="00AD5B00" w:rsidP="00094270">
            <w:pPr>
              <w:spacing w:line="298" w:lineRule="auto"/>
              <w:jc w:val="center"/>
            </w:pPr>
            <w:r w:rsidRPr="00C575B9">
              <w:t>0.8399</w:t>
            </w:r>
          </w:p>
        </w:tc>
        <w:tc>
          <w:tcPr>
            <w:tcW w:w="766" w:type="dxa"/>
          </w:tcPr>
          <w:p w:rsidR="00AD5B00" w:rsidRPr="00C575B9" w:rsidRDefault="00AD5B00" w:rsidP="00094270">
            <w:pPr>
              <w:spacing w:line="298" w:lineRule="auto"/>
              <w:jc w:val="center"/>
            </w:pPr>
            <w:r w:rsidRPr="00C575B9">
              <w:t>0.7798</w:t>
            </w:r>
          </w:p>
        </w:tc>
        <w:tc>
          <w:tcPr>
            <w:tcW w:w="766" w:type="dxa"/>
          </w:tcPr>
          <w:p w:rsidR="00AD5B00" w:rsidRPr="00C575B9" w:rsidRDefault="00AD5B00" w:rsidP="00094270">
            <w:pPr>
              <w:spacing w:line="298" w:lineRule="auto"/>
              <w:jc w:val="center"/>
            </w:pPr>
            <w:r w:rsidRPr="00C575B9">
              <w:t>0.6996</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Хорватія</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51</w:t>
            </w:r>
          </w:p>
        </w:tc>
        <w:tc>
          <w:tcPr>
            <w:tcW w:w="1123" w:type="dxa"/>
          </w:tcPr>
          <w:p w:rsidR="00AD5B00" w:rsidRPr="00C575B9" w:rsidRDefault="00AD5B00" w:rsidP="00094270">
            <w:pPr>
              <w:spacing w:line="298" w:lineRule="auto"/>
              <w:jc w:val="center"/>
            </w:pPr>
            <w:r w:rsidRPr="00C575B9">
              <w:t>Південна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0.7529</w:t>
            </w:r>
          </w:p>
        </w:tc>
        <w:tc>
          <w:tcPr>
            <w:tcW w:w="1113" w:type="dxa"/>
          </w:tcPr>
          <w:p w:rsidR="00AD5B00" w:rsidRPr="00C575B9" w:rsidRDefault="00AD5B00" w:rsidP="00094270">
            <w:pPr>
              <w:spacing w:line="298" w:lineRule="auto"/>
              <w:jc w:val="center"/>
            </w:pPr>
            <w:r w:rsidRPr="00C575B9">
              <w:t>0.8414</w:t>
            </w:r>
          </w:p>
        </w:tc>
        <w:tc>
          <w:tcPr>
            <w:tcW w:w="1113" w:type="dxa"/>
          </w:tcPr>
          <w:p w:rsidR="00AD5B00" w:rsidRPr="00C575B9" w:rsidRDefault="00AD5B00" w:rsidP="00094270">
            <w:pPr>
              <w:spacing w:line="298" w:lineRule="auto"/>
              <w:jc w:val="center"/>
            </w:pPr>
            <w:r w:rsidRPr="00C575B9">
              <w:t>0.7293</w:t>
            </w:r>
          </w:p>
        </w:tc>
        <w:tc>
          <w:tcPr>
            <w:tcW w:w="766" w:type="dxa"/>
          </w:tcPr>
          <w:p w:rsidR="00AD5B00" w:rsidRPr="00C575B9" w:rsidRDefault="00AD5B00" w:rsidP="00094270">
            <w:pPr>
              <w:spacing w:line="298" w:lineRule="auto"/>
              <w:jc w:val="center"/>
            </w:pPr>
            <w:r w:rsidRPr="00C575B9">
              <w:t>0.7745</w:t>
            </w:r>
          </w:p>
        </w:tc>
        <w:tc>
          <w:tcPr>
            <w:tcW w:w="766" w:type="dxa"/>
          </w:tcPr>
          <w:p w:rsidR="00AD5B00" w:rsidRPr="00C575B9" w:rsidRDefault="00AD5B00" w:rsidP="00094270">
            <w:pPr>
              <w:spacing w:line="298" w:lineRule="auto"/>
              <w:jc w:val="center"/>
            </w:pPr>
            <w:r w:rsidRPr="00C575B9">
              <w:t>0.7018</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Угорщина</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52</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0.7471</w:t>
            </w:r>
          </w:p>
        </w:tc>
        <w:tc>
          <w:tcPr>
            <w:tcW w:w="1113" w:type="dxa"/>
          </w:tcPr>
          <w:p w:rsidR="00AD5B00" w:rsidRPr="00C575B9" w:rsidRDefault="00AD5B00" w:rsidP="00094270">
            <w:pPr>
              <w:spacing w:line="298" w:lineRule="auto"/>
              <w:jc w:val="center"/>
            </w:pPr>
            <w:r w:rsidRPr="00C575B9">
              <w:t>0.8509</w:t>
            </w:r>
          </w:p>
        </w:tc>
        <w:tc>
          <w:tcPr>
            <w:tcW w:w="1113" w:type="dxa"/>
          </w:tcPr>
          <w:p w:rsidR="00AD5B00" w:rsidRPr="00C575B9" w:rsidRDefault="00AD5B00" w:rsidP="00094270">
            <w:pPr>
              <w:spacing w:line="298" w:lineRule="auto"/>
              <w:jc w:val="center"/>
            </w:pPr>
            <w:r w:rsidRPr="00C575B9">
              <w:t>0.7255</w:t>
            </w:r>
          </w:p>
        </w:tc>
        <w:tc>
          <w:tcPr>
            <w:tcW w:w="766" w:type="dxa"/>
          </w:tcPr>
          <w:p w:rsidR="00AD5B00" w:rsidRPr="00C575B9" w:rsidRDefault="00AD5B00" w:rsidP="00094270">
            <w:pPr>
              <w:spacing w:line="298" w:lineRule="auto"/>
              <w:jc w:val="center"/>
            </w:pPr>
            <w:r w:rsidRPr="00C575B9">
              <w:t>0.7745</w:t>
            </w:r>
          </w:p>
        </w:tc>
        <w:tc>
          <w:tcPr>
            <w:tcW w:w="766" w:type="dxa"/>
          </w:tcPr>
          <w:p w:rsidR="00AD5B00" w:rsidRPr="00C575B9" w:rsidRDefault="00AD5B00" w:rsidP="00094270">
            <w:pPr>
              <w:spacing w:line="298" w:lineRule="auto"/>
              <w:jc w:val="center"/>
            </w:pPr>
            <w:r w:rsidRPr="00C575B9">
              <w:t>0.7265</w:t>
            </w:r>
          </w:p>
        </w:tc>
      </w:tr>
      <w:tr w:rsidR="00AD5B00" w:rsidRPr="00C575B9" w:rsidTr="00094270">
        <w:trPr>
          <w:jc w:val="center"/>
        </w:trPr>
        <w:tc>
          <w:tcPr>
            <w:tcW w:w="1546" w:type="dxa"/>
          </w:tcPr>
          <w:p w:rsidR="00AD5B00" w:rsidRPr="00C575B9" w:rsidRDefault="00AD5B00" w:rsidP="00094270">
            <w:pPr>
              <w:spacing w:line="298" w:lineRule="auto"/>
              <w:jc w:val="center"/>
            </w:pPr>
            <w:r w:rsidRPr="00C575B9">
              <w:t>Румунія</w:t>
            </w:r>
          </w:p>
        </w:tc>
        <w:tc>
          <w:tcPr>
            <w:tcW w:w="833" w:type="dxa"/>
          </w:tcPr>
          <w:p w:rsidR="00AD5B00" w:rsidRPr="00C575B9" w:rsidRDefault="00AD5B00" w:rsidP="00094270">
            <w:pPr>
              <w:spacing w:line="298" w:lineRule="auto"/>
              <w:jc w:val="center"/>
            </w:pPr>
            <w:r w:rsidRPr="00C575B9">
              <w:t>V1</w:t>
            </w:r>
          </w:p>
        </w:tc>
        <w:tc>
          <w:tcPr>
            <w:tcW w:w="947" w:type="dxa"/>
          </w:tcPr>
          <w:p w:rsidR="00AD5B00" w:rsidRPr="00C575B9" w:rsidRDefault="00AD5B00" w:rsidP="00094270">
            <w:pPr>
              <w:spacing w:line="298" w:lineRule="auto"/>
              <w:jc w:val="center"/>
            </w:pPr>
            <w:r w:rsidRPr="00C575B9">
              <w:t>55</w:t>
            </w:r>
          </w:p>
        </w:tc>
        <w:tc>
          <w:tcPr>
            <w:tcW w:w="1123" w:type="dxa"/>
          </w:tcPr>
          <w:p w:rsidR="00AD5B00" w:rsidRPr="00C575B9" w:rsidRDefault="00AD5B00" w:rsidP="00094270">
            <w:pPr>
              <w:spacing w:line="298" w:lineRule="auto"/>
              <w:jc w:val="center"/>
            </w:pPr>
            <w:r w:rsidRPr="00C575B9">
              <w:t>Східна Європа</w:t>
            </w:r>
          </w:p>
        </w:tc>
        <w:tc>
          <w:tcPr>
            <w:tcW w:w="770" w:type="dxa"/>
          </w:tcPr>
          <w:p w:rsidR="00AD5B00" w:rsidRPr="00C575B9" w:rsidRDefault="00AD5B00" w:rsidP="00094270">
            <w:pPr>
              <w:spacing w:line="298" w:lineRule="auto"/>
              <w:jc w:val="center"/>
            </w:pPr>
            <w:r w:rsidRPr="00C575B9">
              <w:t>Так</w:t>
            </w:r>
          </w:p>
        </w:tc>
        <w:tc>
          <w:tcPr>
            <w:tcW w:w="1113" w:type="dxa"/>
          </w:tcPr>
          <w:p w:rsidR="00AD5B00" w:rsidRPr="00C575B9" w:rsidRDefault="00AD5B00" w:rsidP="00094270">
            <w:pPr>
              <w:spacing w:line="298" w:lineRule="auto"/>
              <w:jc w:val="center"/>
            </w:pPr>
            <w:r w:rsidRPr="00C575B9">
              <w:t>0.7235</w:t>
            </w:r>
          </w:p>
        </w:tc>
        <w:tc>
          <w:tcPr>
            <w:tcW w:w="1113" w:type="dxa"/>
          </w:tcPr>
          <w:p w:rsidR="00AD5B00" w:rsidRPr="00C575B9" w:rsidRDefault="00AD5B00" w:rsidP="00094270">
            <w:pPr>
              <w:spacing w:line="298" w:lineRule="auto"/>
              <w:jc w:val="center"/>
            </w:pPr>
            <w:r w:rsidRPr="00C575B9">
              <w:t>0.7995</w:t>
            </w:r>
          </w:p>
        </w:tc>
        <w:tc>
          <w:tcPr>
            <w:tcW w:w="1113" w:type="dxa"/>
          </w:tcPr>
          <w:p w:rsidR="00AD5B00" w:rsidRPr="00C575B9" w:rsidRDefault="00AD5B00" w:rsidP="00094270">
            <w:pPr>
              <w:spacing w:line="298" w:lineRule="auto"/>
              <w:jc w:val="center"/>
            </w:pPr>
            <w:r w:rsidRPr="00C575B9">
              <w:t>0.7586</w:t>
            </w:r>
          </w:p>
        </w:tc>
        <w:tc>
          <w:tcPr>
            <w:tcW w:w="766" w:type="dxa"/>
          </w:tcPr>
          <w:p w:rsidR="00AD5B00" w:rsidRPr="00C575B9" w:rsidRDefault="00AD5B00" w:rsidP="00094270">
            <w:pPr>
              <w:spacing w:line="298" w:lineRule="auto"/>
              <w:jc w:val="center"/>
            </w:pPr>
            <w:r w:rsidRPr="00C575B9">
              <w:t>0.7605</w:t>
            </w:r>
          </w:p>
        </w:tc>
        <w:tc>
          <w:tcPr>
            <w:tcW w:w="766" w:type="dxa"/>
          </w:tcPr>
          <w:p w:rsidR="00AD5B00" w:rsidRPr="00C575B9" w:rsidRDefault="00AD5B00" w:rsidP="00094270">
            <w:pPr>
              <w:spacing w:line="298" w:lineRule="auto"/>
              <w:jc w:val="center"/>
            </w:pPr>
            <w:r w:rsidRPr="00C575B9">
              <w:t>0.6671</w:t>
            </w:r>
          </w:p>
        </w:tc>
      </w:tr>
    </w:tbl>
    <w:p w:rsidR="00AD5B00" w:rsidRPr="00C575B9" w:rsidRDefault="00AD5B00" w:rsidP="00AD5B00"/>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З точки зору електронної демократії, створення ЕП має найважливіше значення, оскільки відкриває доступ громадськості до інформації державної ваги, тим самим сприяючи транспарентності державної влади та створення системи громадського контролю за її діяльністю через Інтернет. Спроби створення подібних систем на основі різних телекомунікаційних засобів регулярно робилися у </w:t>
      </w:r>
      <w:r w:rsidRPr="00C575B9">
        <w:rPr>
          <w:rFonts w:ascii="Arial" w:eastAsia="Arial" w:hAnsi="Arial" w:cs="Arial"/>
          <w:sz w:val="28"/>
          <w:szCs w:val="28"/>
        </w:rPr>
        <w:lastRenderedPageBreak/>
        <w:t>промислово розвинених країнах у другій половині ХХ ст. Але саме Інтернет виявився найбільш зручним і, що важливо, дешевим засобом, за допомогою якого ці ідеї перейшли у практичну область. Мережа розглядається як можливість заміщення розриву між керуючими та керованими.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5665BEEC" wp14:editId="185A51E2">
            <wp:extent cx="305759" cy="268383"/>
            <wp:effectExtent l="0" t="0" r="0" b="0"/>
            <wp:docPr id="22"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Виділяються чотири умовні напрями взаємодії між органами державного управління, громадянами та суб'єктами комерційної діяльності:</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держава-бізнес/бізнес-держава (Government-to-Business/Business-to-Government,G2B/B2G);</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держава-держава (Governmentto-Government, G2G);</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держава-громадяни/громадяни-держава (Government-to Citizen/Citizen-to-Government, G2C/С2G);</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держава-службовці (Government-to-Employees, G2E).</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Хоча найчастіше названі функції виконуються одними й тими самими електронними урядовими структурами, цілі у цих напрямів різні.</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Розвиток G2B/B2G має полегшити взаємодію між комерційними структурами та урядом за рахунок відкритого онлайн-доступу до законодавчої інформації (законодавчі акти, федеральні правила, інструкції) та забезпечити можливість надання звітності контролюючі держоргани через Інтернет.</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Основне призначення G2G – покращити взаємодію між федеральними, державними та місцевими органами влади, а G2C/С2G – надати громадянам зручний та швидкий онлайн доступ до інформації та послуг.</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Напрям G2E надає пріоритет контактам між державою та державними службовцями. Іншими словами, з одного боку, електронний уряд відкриває доступ до законодавчої інформації, а з іншого – дозволяє громадянам та комерційним структурам здійснювати різноманітні операції (від сплати комунальних рахунків до подання звітності до держорганів) через Інтернет.</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В даний час основною базою розвитку системи електронної демократії є технологія Web 2.0, яка уможливлює взаємодію користувачів, організовану ними самими, обмін та подальшу переробку інформації (блоги, соціальні мережі, громадська журналістика тощо). У політичному житті інформаційних товариств блогосфера займає </w:t>
      </w:r>
      <w:r w:rsidRPr="00C575B9">
        <w:rPr>
          <w:rFonts w:ascii="Arial" w:eastAsia="Arial" w:hAnsi="Arial" w:cs="Arial"/>
          <w:sz w:val="28"/>
          <w:szCs w:val="28"/>
        </w:rPr>
        <w:lastRenderedPageBreak/>
        <w:t>особливе становище, грає роль провідної майданчика політичного дискурсу. Блогери висловлюються з найбільш актуальних суспільно-політичних проблем, і це відбувається безперервно в інтерактивному режимі. Блоги не піддаються цензурі (лише деяких країнах висловлювання у блогах прирівняні до публічних і таким чином підпадають під кримінальну відповідальність). Крім того, блогосфера безперервно розширюється, і стартові умови для неї учасників рівні. У багатьох країнах блогосфера стала не тільки загальнодоступною платформою для прямого політичної участі громадян, а й значущим фактором політичного життя. Найчастіше "серйозні" блогери виступають під реальними (а не віртуальними) іменами і стають помітними суспільно-політичними постатями.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Великою популярністю у політичному житті багатьох країн користуються також мікроблоги (особливо Twitter). Так, широко відома прихильність до цієї форми інформаційного взаємодії із суспільством багатьох офіційних осіб і навіть глав держав. У деяких випадках «неофіційне» листування офіційних осіб у Twitter замінює усні домовленості. Нерідко така інформація швидко потрапляє до Інтернету і тиражується там ще до того, як стане офіційною новиною.</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Вищою формою електронної демократії визнається Електронна пряма демократія (Electronic Direct Democracy, EDD), яка являє собою пряме залучення громадян у виборчу діяльність з використанням інформаційно-комунікаційних засобів (наприклад, «Сіті-холи» у США щодо створення системи обліку думок виборців, досвід Флориди – у регулюванні діяльності громадських організацій вузів, кантональні електронні системи у Швейцарії). Також у дослідницьких роботах прийнято розділяти рівні електронної демократії: міжнародний, національний, регіональний та місцевий.</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Найбільш складною у зарубіжній теорії та практиці представляється проблема правового обґрунтування для реалізації електронної демократії Як показало загальне дослідження цього питання, йдеться про побудову складних юридичних моделей на основі комплексів законодавства, покликаного врегулювати як захист спільних демократичних права і свободи громадян, і нормативних актів, що регулюють відносини в галузі використання інформаційно-комунікаційних засобів.</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У деяких країнах та регіонах світу вже створено дуже ефективну систему громадського контролю за діяльністю державної влади через Інтернет (електронна держава). Однак моделі цієї системи мають яскраво виражену регіональну специфіку.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5C03FF07" wp14:editId="205B84AA">
            <wp:extent cx="305759" cy="268383"/>
            <wp:effectExtent l="0" t="0" r="0" b="0"/>
            <wp:docPr id="20"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b/>
          <w:i/>
          <w:sz w:val="28"/>
          <w:szCs w:val="28"/>
        </w:rPr>
        <w:t xml:space="preserve"> Європейська модель </w:t>
      </w:r>
      <w:r w:rsidRPr="00C575B9">
        <w:rPr>
          <w:rFonts w:ascii="Arial" w:eastAsia="Arial" w:hAnsi="Arial" w:cs="Arial"/>
          <w:sz w:val="28"/>
          <w:szCs w:val="28"/>
        </w:rPr>
        <w:t>характеризується наявністю наддержавних інститутів – Європарламенту, Єврокомісії, Європейського суду, рішення яких є обов'язковими для виконання усіма країнами ЄС. Тому ця модель орієнтована насамперед на вирівнювання умов та координацію діяльності електронного уряду для країн – членів Європейського союзу. Вона втілює у реальність модель G2G.</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71FD2E6B" wp14:editId="18EAB5B6">
            <wp:extent cx="305759" cy="268383"/>
            <wp:effectExtent l="0" t="0" r="0" b="0"/>
            <wp:docPr id="16"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b/>
          <w:i/>
          <w:sz w:val="28"/>
          <w:szCs w:val="28"/>
        </w:rPr>
        <w:t xml:space="preserve"> Азіатська модель</w:t>
      </w:r>
      <w:r w:rsidRPr="00C575B9">
        <w:rPr>
          <w:rFonts w:ascii="Arial" w:eastAsia="Arial" w:hAnsi="Arial" w:cs="Arial"/>
          <w:sz w:val="28"/>
          <w:szCs w:val="28"/>
        </w:rPr>
        <w:t xml:space="preserve"> спирається на специфічний стиль управління, азіатський тип корпоративної культури та багатошарову систему державного управління, організованого за принципом ієрархічної піраміди Така модель є практичним здійсненням G2E.</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7F49BDBD" wp14:editId="4B00E575">
            <wp:extent cx="305759" cy="268383"/>
            <wp:effectExtent l="0" t="0" r="0" b="0"/>
            <wp:docPr id="15"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b/>
          <w:i/>
          <w:sz w:val="28"/>
          <w:szCs w:val="28"/>
        </w:rPr>
        <w:t xml:space="preserve"> Північноамериканська модель</w:t>
      </w:r>
      <w:r w:rsidRPr="00C575B9">
        <w:rPr>
          <w:rFonts w:ascii="Arial" w:eastAsia="Arial" w:hAnsi="Arial" w:cs="Arial"/>
          <w:sz w:val="28"/>
          <w:szCs w:val="28"/>
        </w:rPr>
        <w:t xml:space="preserve"> електронного уряду отримала поширення у США та Канаді. Американська модель передбачає не просто доступ до сайтів урядових організацій, а й, що в багато в чому визначає її специфіку, стає місцем вільного обміну ідеями, ініціативами, майданчиком для обговорення результатів тих чи інших робіт та укладання бізнес-угод. Вона розвивається у рамках теоретичних концепцій G2C і G2B і ставить за мету розвиток електронної демократії через побудову затребуваного електронного уряду. Американське бачення концепції електронного уряду орієнтоване задоволення потреб громадян і виходить з ринкових механізмах. Канадську модель можна назвати класичною, оскільки основне призначення електронного уряду у Канаді полягає у наданні громадянам через Інтернет каналів доступу до державної інформації, а також у навчанні всіх фізичних та юридичних осіб з використанням нових систем. Електронний уряд фокусується на надання громадянам послуг.</w:t>
      </w:r>
    </w:p>
    <w:p w:rsidR="00AD5B00" w:rsidRPr="00C575B9" w:rsidRDefault="00AD5B00" w:rsidP="00AD5B00">
      <w:pPr>
        <w:spacing w:after="0" w:line="288" w:lineRule="auto"/>
        <w:ind w:firstLine="720"/>
        <w:jc w:val="both"/>
        <w:rPr>
          <w:rFonts w:ascii="Arial" w:eastAsia="Arial" w:hAnsi="Arial" w:cs="Arial"/>
          <w:sz w:val="28"/>
          <w:szCs w:val="28"/>
        </w:rPr>
      </w:pPr>
    </w:p>
    <w:p w:rsidR="00AD5B00" w:rsidRPr="00C575B9" w:rsidRDefault="00AD5B00" w:rsidP="00AD5B00">
      <w:pPr>
        <w:spacing w:after="0" w:line="288" w:lineRule="auto"/>
        <w:ind w:firstLine="720"/>
        <w:jc w:val="both"/>
        <w:rPr>
          <w:rFonts w:ascii="Arial" w:hAnsi="Arial" w:cs="Arial"/>
          <w:b/>
          <w:sz w:val="28"/>
          <w:szCs w:val="28"/>
        </w:rPr>
      </w:pPr>
      <w:r w:rsidRPr="00C575B9">
        <w:rPr>
          <w:rFonts w:ascii="Arial" w:eastAsia="Arial" w:hAnsi="Arial" w:cs="Arial"/>
          <w:b/>
          <w:sz w:val="28"/>
          <w:szCs w:val="28"/>
        </w:rPr>
        <w:t xml:space="preserve">5.3. Географія Інтернету. </w:t>
      </w:r>
      <w:r w:rsidRPr="00C575B9">
        <w:rPr>
          <w:rFonts w:ascii="Arial" w:hAnsi="Arial" w:cs="Arial"/>
          <w:b/>
          <w:sz w:val="28"/>
          <w:szCs w:val="28"/>
        </w:rPr>
        <w:t>Безпека та стратегія в епоху Інтернету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7C6FA59F" wp14:editId="6231C915">
            <wp:extent cx="305759" cy="268383"/>
            <wp:effectExtent l="0" t="0" r="0" b="0"/>
            <wp:docPr id="11"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У географії глобальної мережі Інтернет наприкінці ХХ – на початку XXI століть відбулися масштабні зрушення, пов'язані з </w:t>
      </w:r>
      <w:r w:rsidRPr="00C575B9">
        <w:rPr>
          <w:rFonts w:ascii="Arial" w:eastAsia="Arial" w:hAnsi="Arial" w:cs="Arial"/>
          <w:sz w:val="28"/>
          <w:szCs w:val="28"/>
        </w:rPr>
        <w:lastRenderedPageBreak/>
        <w:t xml:space="preserve">суттєвим скороченням кількісних розривів між країнами світу та згладжуванням територіальних диспропорцій на рівні проникнення Інтернету. Загострення глобальної проблеми інформаційної безпеки та управління Інтернетом у другому десятиріччі ХХІ ст. спричинило диверсифікацію трафік-потоків, розвиток незалежних регіональних мереж та внутрішньорегіональних телекомунікацій, а також значні геополітичні зрушення, що викликало суттєву децентралізацію та перебудову світової мережі Інтернет. </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Однак у сфері інформаційного наповнення та управління Інтернетом монополія розвинених країн зберігається. Іншими словами, цифровий розрив перемістився в іншу площину: не стільки питання доступу та технічної забезпеченості, скільки можливостей з генерування інформації та управлінню інформаційними потоками визначають сьогодні розстановку сил світового господарства. Світові тенденції розвитку телекомунікацій такі, що поступово всі існуючі інформаційно-комунікаційні послуги мігрують до Інтернету, як і значна частина державних послуг, торгових, культурно-освітніх та ін. У цьому зв'язку поширення та активне використання Інтернету має сьогодні вирішальне значення для соціально-економічного розвитку та підвищення конкурентоспроможності будь-якої економіки, розширення можливостей її інтеграції у глобальне інформаційне суспільство та світове господарство.</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 сьогоднішній економіці з її вимогами безперервного функціонування та постійного зв'язку компанії змушені посилювати свою стратегію кібербезпеки та демонструвати замовникам, що захист даних має у їхній стратегії взаємодії вирішальне значення. У світовій економіці з цифровізацією операцій, ланцюжків поставок, бізнес-процесів, а також обслуговування співробітників та клієнтів кібератаки залишаються однією з основних загроз.</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У звіті Всесвітнього економічного форуму про глобальні ризики за 2021 рік (Global Risk Report for 2021) проблеми кібербезпеки названо однією з найбільших загроз, з якими зіткнеться людство протягом найближчих десяти років. Нові загрози та вразливості виникають з неймовірною швидкістю, інструменти даркнета стають все більш розвиненими та доступними, а кібератаки більш масштабними. Нові технології створюють можливості для інновацій, проте ми спостерігаємо все більш серйозні втрати даних та зростання кількості </w:t>
      </w:r>
      <w:r w:rsidRPr="00C575B9">
        <w:rPr>
          <w:rFonts w:ascii="Arial" w:eastAsia="Arial" w:hAnsi="Arial" w:cs="Arial"/>
          <w:sz w:val="28"/>
          <w:szCs w:val="28"/>
        </w:rPr>
        <w:lastRenderedPageBreak/>
        <w:t>атак програм-вимагачів, тому планування сталості бізнесу стає ключовим фактором його виживання. Згідно з недавнім дослідженням Gartner, програми-здирники вважаються однією з найнебезпечніших загроз для організацій: до 2025 року принаймні 75% ІТ-організацій зіткнуться з однією або декількома атаками такого типу.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Сьогодні кіберзлочинність безпосередньо пов'язана із вартістю даних. Дані - це нове золото, і захистити величезний портфель активів непросто, особливо з урахуванням його зростання. Глобальний індекс захисту даних Dell Technologies (2021 Global Data Protection Index) показав, що особи, які ухвалюють рішення у сфері ІТ, розуміють потенційну цінність даних, але, незважаючи на ризики, не дуже впевнені у своїх рішеннях для захисту даних. Понад 2/3 респондентів заявили, що їхнє поточне рішення для захисту даних не дозволить вирішувати майбутні бізнес-завдання.</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2AFC224A" wp14:editId="25BC4DCC">
            <wp:extent cx="305759" cy="268383"/>
            <wp:effectExtent l="0" t="0" r="0" b="0"/>
            <wp:docPr id="23"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Для організації безпечного віддаленого доступу до захищених мереж важливо використовувати засоби криптографічного захисту, для предиктивного захисту можна застосовувати системи аналізу трафіку NTA (Network Traffic Analysis), розгортати системи виявлення (IDS) та запобігання (IPS) вторгнень, які фіксують та блокують несанкціонований доступ до комп'ютерних системи.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Швидке зростання кількості атак програм-вимагачів останніми роками турбує багатьох. Якщо дані стали жертвою атаки програми-здирника, і їх неможливо розшифрувати, то викуп, швидше за все, не дасть результату. За даними щорічного звіту Sophos, за вірусами-вимагачами, із 32% організацій, які заплатили викуп за останній рік, лише 8% вдалося розшифрувати та отримати всі свої дані, з них 29% змогли відновити не більше половини своїх даних.</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Рішення для захисту та відновлення даних можуть стати важливою частиною стратегії захисту від програм-вимагачів. Такі рішення мають кілька рівнів безпеки, захищаючи та ізолюючи дані, забезпечуючи проактивний моніторинг та оповіщення, а також швидке відновлення у разі успішної атаки програми-вимагача. Передові технології, засновані на штучному інтелекті та машинному навчанні, дозволяють одразу виявляти потенційні атаки та попереджати про них.</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Захист бізнесу від найгіршого сценарію – втрати критично важливих даних – потребує досвіду в галузі кібербезпеки та цілісного підходу до забезпечення стійкості. Синергія технології та бізнес-</w:t>
      </w:r>
      <w:r w:rsidRPr="00C575B9">
        <w:rPr>
          <w:rFonts w:ascii="Arial" w:eastAsia="Arial" w:hAnsi="Arial" w:cs="Arial"/>
          <w:sz w:val="28"/>
          <w:szCs w:val="28"/>
        </w:rPr>
        <w:lastRenderedPageBreak/>
        <w:t>процесами — ось за рахунок чого досягається справжня стійкість до відмови. Кожен підрозділ бізнесу повинен розуміти, де знаходяться їх найцінніші, конфіденційні дані та сервіси, який у них рівень ризику.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З цієї причини регулярне сканування та аналіз внутрішнього ІТ-ландшафту необхідні для розуміння змін та їхнього впливу. Крім забезпечення безпеки потенційною перешкодою для бізнесу, компанії відкривають собі «сліпі зони» та вразливості, які можуть призвести до серйозних фінансових втрат та репутаційних ризиків.</w:t>
      </w:r>
    </w:p>
    <w:p w:rsidR="00AD5B00" w:rsidRPr="00C575B9" w:rsidRDefault="00AD5B00" w:rsidP="00AD5B00">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44014794" wp14:editId="0023C2A6">
            <wp:extent cx="305759" cy="268383"/>
            <wp:effectExtent l="0" t="0" r="0" b="0"/>
            <wp:docPr id="24"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5"/>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Щоб подолати проблеми та залучити до процесів забезпечення безпеки своїх співробітників, організації повинні використовувати багатосторонній підхід, який включає:</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навчання співробітників у сфері безпеки: дуже важливо, щоб усі співробітники розуміли, чому безпека даних важлива на кожному рівні, і що вони є важливою частиною забезпечення безпеки, знали свою роль;</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управління ризиками: враховуючи продовження експоненційного зростання обсягів даних, важливо використовувати різні стратегії захисту для забезпечення безперервної доступності, реплікації, резервного копіювання та архівування даних, створюючи ефективне та масштабоване рішення для захисту даних;</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створення цифрового сховища: переконайтеся, що є чиста копія критично важливих для бізнесу даних, що зберігається в ізольованому середовищі та придатна для відновлення у разі будь-якої кібератаки;</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узгоджена система безпеки: щоб компанії могли випереджати конкурентів, вони повинні зробити інвестиції в заходи та засоби безпеки своїм головним пріоритетом та проактивно вирішувати питання забезпечення конфіденційності даних, а не чекати, що цією проблемою можна буде зайнятися після атаки. Це означає, зокрема, впровадження ІТ-рішень (наприклад, ноутбуків, серверів, сховищ), основою яких безпека вже закладена.</w:t>
      </w:r>
    </w:p>
    <w:p w:rsidR="00AD5B00" w:rsidRPr="00C575B9" w:rsidRDefault="00AD5B00" w:rsidP="00AD5B00">
      <w:pPr>
        <w:spacing w:after="0" w:line="288" w:lineRule="auto"/>
        <w:ind w:firstLine="720"/>
        <w:jc w:val="both"/>
        <w:rPr>
          <w:rFonts w:ascii="Arial" w:eastAsia="Arial" w:hAnsi="Arial" w:cs="Arial"/>
          <w:b/>
          <w:sz w:val="28"/>
          <w:szCs w:val="28"/>
        </w:rPr>
      </w:pPr>
    </w:p>
    <w:p w:rsidR="00AD5B00" w:rsidRPr="00C575B9" w:rsidRDefault="00AD5B00" w:rsidP="00AD5B00">
      <w:pPr>
        <w:spacing w:after="0" w:line="288" w:lineRule="auto"/>
        <w:ind w:firstLine="720"/>
        <w:jc w:val="center"/>
        <w:rPr>
          <w:rFonts w:ascii="Arial" w:eastAsia="Arial" w:hAnsi="Arial" w:cs="Arial"/>
          <w:b/>
          <w:sz w:val="28"/>
          <w:szCs w:val="28"/>
        </w:rPr>
      </w:pPr>
      <w:r w:rsidRPr="00C575B9">
        <w:rPr>
          <w:rFonts w:ascii="Arial" w:eastAsia="Arial" w:hAnsi="Arial" w:cs="Arial"/>
          <w:b/>
          <w:sz w:val="28"/>
          <w:szCs w:val="28"/>
        </w:rPr>
        <w:t>Контрольні питання</w:t>
      </w:r>
    </w:p>
    <w:p w:rsidR="00AD5B00" w:rsidRPr="00C575B9" w:rsidRDefault="00AD5B00" w:rsidP="00AD5B00">
      <w:pPr>
        <w:spacing w:after="0" w:line="288" w:lineRule="auto"/>
        <w:jc w:val="center"/>
        <w:rPr>
          <w:rFonts w:ascii="Arial" w:eastAsia="Arial" w:hAnsi="Arial" w:cs="Arial"/>
          <w:b/>
          <w:sz w:val="28"/>
          <w:szCs w:val="28"/>
        </w:rPr>
      </w:pPr>
    </w:p>
    <w:p w:rsidR="00AD5B00" w:rsidRPr="00C575B9" w:rsidRDefault="00AD5B00" w:rsidP="00AD5B0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1.</w:t>
      </w:r>
      <w:r w:rsidRPr="00C575B9">
        <w:rPr>
          <w:rFonts w:ascii="Arial" w:hAnsi="Arial" w:cs="Arial"/>
          <w:sz w:val="28"/>
          <w:szCs w:val="28"/>
        </w:rPr>
        <w:t xml:space="preserve"> Які є загальні особливості культури Інтернету</w:t>
      </w:r>
      <w:r w:rsidRPr="00C575B9">
        <w:rPr>
          <w:rFonts w:ascii="Arial" w:eastAsia="Arial" w:hAnsi="Arial" w:cs="Arial"/>
          <w:sz w:val="28"/>
          <w:szCs w:val="28"/>
        </w:rPr>
        <w:t>?</w:t>
      </w:r>
    </w:p>
    <w:p w:rsidR="00AD5B00" w:rsidRPr="00C575B9" w:rsidRDefault="00AD5B00" w:rsidP="00AD5B00">
      <w:pPr>
        <w:pBdr>
          <w:top w:val="nil"/>
          <w:left w:val="nil"/>
          <w:bottom w:val="nil"/>
          <w:right w:val="nil"/>
          <w:between w:val="nil"/>
        </w:pBdr>
        <w:spacing w:after="0" w:line="288" w:lineRule="auto"/>
        <w:ind w:firstLine="720"/>
        <w:jc w:val="both"/>
        <w:rPr>
          <w:rFonts w:ascii="Arial" w:eastAsia="Arial" w:hAnsi="Arial" w:cs="Arial"/>
          <w:color w:val="000000"/>
          <w:sz w:val="28"/>
          <w:szCs w:val="28"/>
        </w:rPr>
      </w:pPr>
      <w:r w:rsidRPr="00C575B9">
        <w:rPr>
          <w:rFonts w:ascii="Arial" w:eastAsia="Arial" w:hAnsi="Arial" w:cs="Arial"/>
          <w:color w:val="000000"/>
          <w:sz w:val="28"/>
          <w:szCs w:val="28"/>
        </w:rPr>
        <w:t xml:space="preserve">2. Проаналізуйте </w:t>
      </w:r>
      <w:r w:rsidRPr="00C575B9">
        <w:rPr>
          <w:rFonts w:ascii="Arial" w:hAnsi="Arial" w:cs="Arial"/>
          <w:sz w:val="28"/>
          <w:szCs w:val="28"/>
        </w:rPr>
        <w:t>переваги та недоліки використання Інтернет в сучасному культурному середовищі</w:t>
      </w:r>
      <w:r w:rsidRPr="00C575B9">
        <w:rPr>
          <w:rFonts w:ascii="Arial" w:eastAsia="Arial" w:hAnsi="Arial" w:cs="Arial"/>
          <w:color w:val="000000"/>
          <w:sz w:val="28"/>
          <w:szCs w:val="28"/>
        </w:rPr>
        <w:t>.</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 xml:space="preserve">3. В чому полягає сутність </w:t>
      </w:r>
      <w:r w:rsidRPr="00C575B9">
        <w:rPr>
          <w:rFonts w:ascii="Arial" w:hAnsi="Arial" w:cs="Arial"/>
          <w:sz w:val="28"/>
          <w:szCs w:val="28"/>
        </w:rPr>
        <w:t>взаємозв’язку Інтернету, демократії та інформаційної політики</w:t>
      </w:r>
      <w:r w:rsidRPr="00C575B9">
        <w:rPr>
          <w:rFonts w:ascii="Arial" w:eastAsia="Arial" w:hAnsi="Arial" w:cs="Arial"/>
          <w:sz w:val="28"/>
          <w:szCs w:val="28"/>
        </w:rPr>
        <w:t>?</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4. Проаналізуйте особливості європейської моделі електронного уряду.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5. Порівняйте між собою північноамериканську і азіатську моделі електронного уряду.</w:t>
      </w:r>
    </w:p>
    <w:p w:rsidR="00AD5B00" w:rsidRPr="00C575B9" w:rsidRDefault="00AD5B00" w:rsidP="00AD5B00">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6. </w:t>
      </w:r>
      <w:r w:rsidRPr="00C575B9">
        <w:rPr>
          <w:rFonts w:ascii="Arial" w:hAnsi="Arial" w:cs="Arial"/>
          <w:sz w:val="28"/>
          <w:szCs w:val="28"/>
        </w:rPr>
        <w:t>Охарактеризуйте специфіку безпеки та стратегії в епоху Інтернету</w:t>
      </w:r>
      <w:r w:rsidRPr="00C575B9">
        <w:rPr>
          <w:rFonts w:ascii="Arial" w:eastAsia="Arial" w:hAnsi="Arial" w:cs="Arial"/>
          <w:sz w:val="28"/>
          <w:szCs w:val="28"/>
        </w:rPr>
        <w:t>.</w:t>
      </w:r>
    </w:p>
    <w:p w:rsidR="00632560" w:rsidRDefault="00632560">
      <w:bookmarkStart w:id="6" w:name="_GoBack"/>
      <w:bookmarkEnd w:id="6"/>
    </w:p>
    <w:sectPr w:rsidR="006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00"/>
    <w:rsid w:val="000E2E20"/>
    <w:rsid w:val="00632560"/>
    <w:rsid w:val="006369C8"/>
    <w:rsid w:val="006C3DEF"/>
    <w:rsid w:val="00AD5B00"/>
    <w:rsid w:val="00C1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5B00"/>
    <w:pPr>
      <w:spacing w:after="160" w:line="259" w:lineRule="auto"/>
    </w:pPr>
    <w:rPr>
      <w:rFonts w:ascii="Calibri" w:eastAsia="Calibri" w:hAnsi="Calibri" w:cs="Calibri"/>
      <w:lang w:val="uk-UA" w:eastAsia="uk-UA"/>
    </w:rPr>
  </w:style>
  <w:style w:type="paragraph" w:styleId="1">
    <w:name w:val="heading 1"/>
    <w:basedOn w:val="a"/>
    <w:next w:val="a"/>
    <w:link w:val="10"/>
    <w:rsid w:val="00AD5B00"/>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AD5B00"/>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B00"/>
    <w:rPr>
      <w:rFonts w:ascii="Arial" w:eastAsia="Cambria" w:hAnsi="Arial" w:cs="Arial"/>
      <w:b/>
      <w:sz w:val="36"/>
      <w:szCs w:val="36"/>
      <w:lang w:val="uk-UA" w:eastAsia="uk-UA"/>
    </w:rPr>
  </w:style>
  <w:style w:type="character" w:customStyle="1" w:styleId="20">
    <w:name w:val="Заголовок 2 Знак"/>
    <w:basedOn w:val="a0"/>
    <w:link w:val="2"/>
    <w:rsid w:val="00AD5B00"/>
    <w:rPr>
      <w:rFonts w:ascii="Arial" w:eastAsia="Arial" w:hAnsi="Arial" w:cs="Arial"/>
      <w:b/>
      <w:sz w:val="28"/>
      <w:szCs w:val="28"/>
      <w:lang w:val="uk-UA" w:eastAsia="uk-UA"/>
    </w:rPr>
  </w:style>
  <w:style w:type="table" w:styleId="a3">
    <w:name w:val="Table Grid"/>
    <w:basedOn w:val="a1"/>
    <w:uiPriority w:val="39"/>
    <w:rsid w:val="00AD5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5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B00"/>
    <w:rPr>
      <w:rFonts w:ascii="Tahoma" w:eastAsia="Calibri"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5B00"/>
    <w:pPr>
      <w:spacing w:after="160" w:line="259" w:lineRule="auto"/>
    </w:pPr>
    <w:rPr>
      <w:rFonts w:ascii="Calibri" w:eastAsia="Calibri" w:hAnsi="Calibri" w:cs="Calibri"/>
      <w:lang w:val="uk-UA" w:eastAsia="uk-UA"/>
    </w:rPr>
  </w:style>
  <w:style w:type="paragraph" w:styleId="1">
    <w:name w:val="heading 1"/>
    <w:basedOn w:val="a"/>
    <w:next w:val="a"/>
    <w:link w:val="10"/>
    <w:rsid w:val="00AD5B00"/>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AD5B00"/>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B00"/>
    <w:rPr>
      <w:rFonts w:ascii="Arial" w:eastAsia="Cambria" w:hAnsi="Arial" w:cs="Arial"/>
      <w:b/>
      <w:sz w:val="36"/>
      <w:szCs w:val="36"/>
      <w:lang w:val="uk-UA" w:eastAsia="uk-UA"/>
    </w:rPr>
  </w:style>
  <w:style w:type="character" w:customStyle="1" w:styleId="20">
    <w:name w:val="Заголовок 2 Знак"/>
    <w:basedOn w:val="a0"/>
    <w:link w:val="2"/>
    <w:rsid w:val="00AD5B00"/>
    <w:rPr>
      <w:rFonts w:ascii="Arial" w:eastAsia="Arial" w:hAnsi="Arial" w:cs="Arial"/>
      <w:b/>
      <w:sz w:val="28"/>
      <w:szCs w:val="28"/>
      <w:lang w:val="uk-UA" w:eastAsia="uk-UA"/>
    </w:rPr>
  </w:style>
  <w:style w:type="table" w:styleId="a3">
    <w:name w:val="Table Grid"/>
    <w:basedOn w:val="a1"/>
    <w:uiPriority w:val="39"/>
    <w:rsid w:val="00AD5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5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B00"/>
    <w:rPr>
      <w:rFonts w:ascii="Tahoma" w:eastAsia="Calibri"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4333</Words>
  <Characters>24702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2022-01-28T12:11:00Z</dcterms:created>
  <dcterms:modified xsi:type="dcterms:W3CDTF">2022-01-28T12:11:00Z</dcterms:modified>
</cp:coreProperties>
</file>