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47" w:rsidRPr="00C575B9" w:rsidRDefault="00224547" w:rsidP="0022454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>Лабораторна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 робота</w:t>
      </w: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 xml:space="preserve"> 1. Культура інформаційного суспільства</w:t>
      </w:r>
    </w:p>
    <w:p w:rsidR="00224547" w:rsidRPr="00C575B9" w:rsidRDefault="00224547" w:rsidP="0022454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224547" w:rsidRPr="00C575B9" w:rsidRDefault="00224547" w:rsidP="00224547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b/>
          <w:sz w:val="28"/>
          <w:szCs w:val="28"/>
        </w:rPr>
        <w:t>Мета</w:t>
      </w:r>
      <w:bookmarkStart w:id="0" w:name="_GoBack"/>
      <w:bookmarkEnd w:id="0"/>
      <w:r w:rsidRPr="00C575B9">
        <w:rPr>
          <w:rFonts w:ascii="Arial" w:eastAsia="Arial" w:hAnsi="Arial" w:cs="Arial"/>
          <w:sz w:val="28"/>
          <w:szCs w:val="28"/>
        </w:rPr>
        <w:t>:</w:t>
      </w:r>
      <w:r w:rsidRPr="00C575B9">
        <w:t xml:space="preserve"> </w:t>
      </w:r>
      <w:r w:rsidRPr="00C575B9">
        <w:rPr>
          <w:rFonts w:ascii="Arial" w:eastAsia="Arial" w:hAnsi="Arial" w:cs="Arial"/>
          <w:sz w:val="28"/>
          <w:szCs w:val="28"/>
        </w:rPr>
        <w:t xml:space="preserve">опанування студентами креативних вмінь на матеріалі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медіакультури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за допомогою евристичної, ігрової методики та технічних засобів.</w:t>
      </w:r>
    </w:p>
    <w:p w:rsidR="00224547" w:rsidRPr="00C575B9" w:rsidRDefault="00224547" w:rsidP="00224547">
      <w:pPr>
        <w:spacing w:after="0" w:line="288" w:lineRule="auto"/>
        <w:ind w:firstLine="720"/>
        <w:jc w:val="center"/>
        <w:rPr>
          <w:rFonts w:ascii="Arial" w:eastAsia="Arial" w:hAnsi="Arial" w:cs="Arial"/>
          <w:b/>
          <w:sz w:val="28"/>
          <w:szCs w:val="28"/>
        </w:rPr>
      </w:pPr>
      <w:r w:rsidRPr="00C575B9">
        <w:rPr>
          <w:rFonts w:ascii="Arial" w:eastAsia="Arial" w:hAnsi="Arial" w:cs="Arial"/>
          <w:b/>
          <w:sz w:val="28"/>
          <w:szCs w:val="28"/>
        </w:rPr>
        <w:t>Загальні відомості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C575B9">
        <w:rPr>
          <w:rFonts w:ascii="Arial" w:eastAsia="Arial" w:hAnsi="Arial" w:cs="Arial"/>
          <w:sz w:val="28"/>
          <w:szCs w:val="28"/>
        </w:rPr>
        <w:t>Медіакультура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у сучасній соціокультурній ситуації набуває все більшого впливу та поширення. Її успіх (насамперед - у молодіжній аудиторії) визначається такими факторами: використання видовищно-розважальних жанрів (як правило, що спираються на міфологію), терапевтичної, компенсаторної, рекреаційної та інших функцій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медіатекстів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, системи «емоційних перепадів», що дозволяє робити розрядку нервової напруги ; гіпнотизму, вгадування бажань публіки, стандартизації, серійності тощо.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Потенційні можливості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медіакультури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в сучасному 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>інформаційному середовищі</w:t>
      </w:r>
      <w:r w:rsidRPr="00C575B9">
        <w:rPr>
          <w:rFonts w:ascii="Arial" w:eastAsia="Arial" w:hAnsi="Arial" w:cs="Arial"/>
          <w:sz w:val="28"/>
          <w:szCs w:val="28"/>
        </w:rPr>
        <w:t xml:space="preserve"> визначаються її широким спектром можливостей для розвитку людської індивідуальності: емоцій, інтелекту, самостійного творчого мислення, світогляду, активізації знань, отриманих студентами в процесі вивчення дисциплін гуманітарного циклу, естетичної свідомості пр.). Специфіка контакту аудиторії з аудіовізуальними медіа визначається синтетичною аудіовізуальною, просторово-часовою природою кінематографа, телебачення, відео, що поєднує характерні риси практично всіх традиційних мистецтв.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Значення та роль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медіакультури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зростає воістину в геометричній прогресії. Сьогодні це комплексні засоби освоєння людиною навколишнього світу (у його соціальних, моральних, психологічних, мистецьких, інтелектуальних аспектах).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На практичних заняттях майбутні магістри за допомогою евристичної, ігрової методики та технічних засобів (відеокамера, персональний комп'ютер,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смартфон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) на прикладі власної творчої діяльності здійснюють «вбудоване» знайомство з творчим процесом створення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медіатекстів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.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Крім пізнавальної цінності, дані творчі завдання мають непрямий позитивний вплив і на розвиток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медіасприйняття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аудиторії. Зрозуміло, процес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медіасприйняття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аж ніяк не тотожний процесу створення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медіатекстів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, так як іноді навіть самі їх автори не в змозі (та це і не </w:t>
      </w:r>
      <w:r w:rsidRPr="00C575B9">
        <w:rPr>
          <w:rFonts w:ascii="Arial" w:eastAsia="Arial" w:hAnsi="Arial" w:cs="Arial"/>
          <w:sz w:val="28"/>
          <w:szCs w:val="28"/>
        </w:rPr>
        <w:lastRenderedPageBreak/>
        <w:t xml:space="preserve">входить до завдань їхньої професії) розгорнути образне узагальнення, втілене ними (іноді інтуїтивно), наприклад, на екрані, систему логічного словесного міркування. Можна знати, як створюються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медіатексти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, але не вміти їх аналізувати. Однак, долучаючись (нехай навіть на елементарному рівні) до процесу створення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медіатекстів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, аудиторія має можливість розвинути свої здібності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медіасприйняття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, індивідуального творчого мислення, що ефективно готує її до аналізу творів, створених професіоналами.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У результаті колективних обговореннях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медіатекстів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, в індивідуальних розмовах і письмових роботах студенти вільніше оперують ключовими поняттями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медіакультури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, краще розуміються на взаємодії, взаємопроникненні, цілісності різних компонентів твори, докладніше і точніше відтворюють у вербальній формі зміст епізодів, сцен тощо.</w:t>
      </w:r>
    </w:p>
    <w:p w:rsidR="00224547" w:rsidRPr="00C575B9" w:rsidRDefault="00224547" w:rsidP="00224547">
      <w:pPr>
        <w:shd w:val="clear" w:color="auto" w:fill="FFFFFF"/>
        <w:spacing w:after="0" w:line="288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224547" w:rsidRPr="00C575B9" w:rsidRDefault="00224547" w:rsidP="00224547">
      <w:pPr>
        <w:shd w:val="clear" w:color="auto" w:fill="FFFFFF"/>
        <w:spacing w:after="0" w:line="288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575B9">
        <w:rPr>
          <w:rFonts w:ascii="Arial" w:eastAsia="Arial" w:hAnsi="Arial" w:cs="Arial"/>
          <w:b/>
          <w:sz w:val="28"/>
          <w:szCs w:val="28"/>
        </w:rPr>
        <w:t>Завдання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Студенти на свій вибір виконують одне за наступних завдань до практичної роботи: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1. Літературно-імітаційне творче завдання: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- підготовка заявки на оригінальний сценарій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медіатексту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(фільму, телепередачі, кліпу тощо);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- створення сценарної розробки – «екранізація» епізоду відомого літературного твору;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- сценарна розробка епізоду із власної заявки на сценарій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медіатексту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;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- створення оригінального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мінісценарія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, розрахованого на 3-5 хвилин екранної дії та здійснений у практиці студентської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відеозйомки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;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- розробка власного «Режисерський сценарій» - за написаним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мінісценарієм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або сценарною розробкою епізоду.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2. Рольова гра «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дубляжно-тонувальний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період»: а) порівняння різних варіантів переозвучування епізоду - форсування та мікшування шумів, гучності мови, музики, тембрів, інтонації тощо; б) здійснення різних трактувань «дубляжу» незнайомого аудиторії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відеофрагменту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(позбавленого звукової фонограми), чи епізоду з іноземного твору екранного мистецтва; в) освоєння різноманітних звукових, шумових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спецефектів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(імітація звуків,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звуконакладення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та ін.).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lastRenderedPageBreak/>
        <w:t>3. Рольові ігри «Редакція газети», «Видавничий центр», «Рекламна агенція», «Теленовини», «Репортаж» та ін.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4.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Образово-імітаційні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творчі завдання: створення рекламних афіш (до своїх заявок або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медіатекстів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професіоналів) за допомогою колажів з дорисовками; малюнки та колажі на теми творів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медіакультури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; мальовані комікси за мотивами популярних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медіатекстів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.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jc w:val="center"/>
        <w:rPr>
          <w:rFonts w:ascii="Arial" w:eastAsia="Arial" w:hAnsi="Arial" w:cs="Arial"/>
          <w:b/>
          <w:sz w:val="28"/>
          <w:szCs w:val="28"/>
        </w:rPr>
      </w:pPr>
      <w:r w:rsidRPr="00C575B9">
        <w:rPr>
          <w:rFonts w:ascii="Arial" w:eastAsia="Arial" w:hAnsi="Arial" w:cs="Arial"/>
          <w:b/>
          <w:sz w:val="28"/>
          <w:szCs w:val="28"/>
        </w:rPr>
        <w:t>Контрольні запитання</w:t>
      </w:r>
    </w:p>
    <w:p w:rsidR="00224547" w:rsidRPr="00C575B9" w:rsidRDefault="00224547" w:rsidP="00224547">
      <w:pPr>
        <w:shd w:val="clear" w:color="auto" w:fill="FFFFFF"/>
        <w:spacing w:after="0" w:line="288" w:lineRule="auto"/>
        <w:ind w:firstLine="720"/>
        <w:rPr>
          <w:rFonts w:ascii="Arial" w:eastAsia="Arial" w:hAnsi="Arial" w:cs="Arial"/>
          <w:b/>
          <w:sz w:val="28"/>
          <w:szCs w:val="28"/>
        </w:rPr>
      </w:pPr>
    </w:p>
    <w:p w:rsidR="00224547" w:rsidRPr="00C575B9" w:rsidRDefault="00224547" w:rsidP="00224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Які є фактори успіху </w:t>
      </w:r>
      <w:proofErr w:type="spellStart"/>
      <w:r w:rsidRPr="00C575B9">
        <w:rPr>
          <w:rFonts w:ascii="Arial" w:eastAsia="Arial" w:hAnsi="Arial" w:cs="Arial"/>
          <w:color w:val="000000"/>
          <w:sz w:val="28"/>
          <w:szCs w:val="28"/>
        </w:rPr>
        <w:t>медіакультури</w:t>
      </w:r>
      <w:proofErr w:type="spellEnd"/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 в сучасному інформаційному середовищі?</w:t>
      </w:r>
    </w:p>
    <w:p w:rsidR="00224547" w:rsidRPr="00C575B9" w:rsidRDefault="00224547" w:rsidP="00224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Перерахуйте потенційні можливості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медіакультури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в сучасному 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>інформаційному середовищі.</w:t>
      </w:r>
    </w:p>
    <w:p w:rsidR="00224547" w:rsidRPr="00C575B9" w:rsidRDefault="00224547" w:rsidP="00224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 Охарактеризуйте процес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медіасприйняття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з позицій розробника мультимедійних видань.</w:t>
      </w:r>
    </w:p>
    <w:p w:rsidR="00224547" w:rsidRPr="00C575B9" w:rsidRDefault="00224547" w:rsidP="00224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В чому полягає специфіка контакту аудиторії з аудіовізуальними медіа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>?</w:t>
      </w:r>
    </w:p>
    <w:p w:rsidR="00632560" w:rsidRDefault="00632560"/>
    <w:sectPr w:rsidR="0063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3120"/>
    <w:multiLevelType w:val="multilevel"/>
    <w:tmpl w:val="DB2A57E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47"/>
    <w:rsid w:val="000E2E20"/>
    <w:rsid w:val="00224547"/>
    <w:rsid w:val="00632560"/>
    <w:rsid w:val="006369C8"/>
    <w:rsid w:val="006C3DEF"/>
    <w:rsid w:val="00C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547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547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2022-01-28T11:44:00Z</dcterms:created>
  <dcterms:modified xsi:type="dcterms:W3CDTF">2022-01-28T11:44:00Z</dcterms:modified>
</cp:coreProperties>
</file>